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6BF" w:rsidRDefault="007807B6" w:rsidP="007807B6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 xml:space="preserve">87                                                                                </w:t>
      </w:r>
      <w:r w:rsidR="009F36BF" w:rsidRPr="009F36BF">
        <w:rPr>
          <w:rFonts w:ascii="Arial" w:hAnsi="Arial" w:cs="Arial"/>
          <w:b/>
          <w:sz w:val="24"/>
          <w:szCs w:val="24"/>
        </w:rPr>
        <w:t>R1-1612038</w:t>
      </w:r>
    </w:p>
    <w:p w:rsidR="007807B6" w:rsidRPr="00FD021C" w:rsidRDefault="007807B6" w:rsidP="007807B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F0112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AF0112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AF0112"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/>
          <w:b/>
          <w:sz w:val="24"/>
          <w:szCs w:val="24"/>
        </w:rPr>
        <w:t>8</w:t>
      </w:r>
      <w:r w:rsidRPr="00AF0112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AF01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Pr="00AF0112">
        <w:rPr>
          <w:rFonts w:ascii="Arial" w:hAnsi="Arial" w:cs="Arial"/>
          <w:b/>
          <w:sz w:val="24"/>
          <w:szCs w:val="24"/>
        </w:rPr>
        <w:t xml:space="preserve"> 2016</w:t>
      </w:r>
    </w:p>
    <w:p w:rsidR="007807B6" w:rsidRPr="00FD021C" w:rsidRDefault="007807B6" w:rsidP="007807B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:rsidR="00D42D5D" w:rsidRPr="000A64D8" w:rsidRDefault="00D42D5D" w:rsidP="00D42D5D">
      <w:pPr>
        <w:spacing w:after="0"/>
        <w:rPr>
          <w:rFonts w:ascii="Arial" w:hAnsi="Arial" w:cs="Arial"/>
          <w:b/>
          <w:sz w:val="24"/>
          <w:szCs w:val="24"/>
        </w:rPr>
      </w:pPr>
    </w:p>
    <w:p w:rsidR="0068226B" w:rsidRPr="000A64D8" w:rsidRDefault="0068226B" w:rsidP="00480B03">
      <w:pPr>
        <w:pStyle w:val="Footer"/>
        <w:jc w:val="both"/>
        <w:rPr>
          <w:noProof w:val="0"/>
        </w:rPr>
      </w:pPr>
    </w:p>
    <w:p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166E31">
        <w:rPr>
          <w:rFonts w:ascii="Arial" w:hAnsi="Arial"/>
          <w:sz w:val="24"/>
        </w:rPr>
        <w:t>7.1.2.6</w:t>
      </w:r>
    </w:p>
    <w:p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bookmarkStart w:id="1" w:name="_GoBack"/>
      <w:r w:rsidR="008A7124" w:rsidRPr="00E230D3">
        <w:rPr>
          <w:rFonts w:ascii="Arial" w:hAnsi="Arial"/>
          <w:sz w:val="24"/>
        </w:rPr>
        <w:t>UL based mobility PUMICH scalability analysis</w:t>
      </w:r>
      <w:bookmarkEnd w:id="1"/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8A7124" w:rsidRPr="000A64D8">
        <w:rPr>
          <w:rFonts w:ascii="Arial" w:hAnsi="Arial"/>
          <w:sz w:val="24"/>
        </w:rPr>
        <w:t>Discussion</w:t>
      </w:r>
      <w:r w:rsidR="008A7124">
        <w:rPr>
          <w:rFonts w:ascii="Arial" w:hAnsi="Arial"/>
          <w:sz w:val="24"/>
        </w:rPr>
        <w:t>/Decision</w:t>
      </w:r>
    </w:p>
    <w:p w:rsidR="006F7504" w:rsidRPr="00FA7F32" w:rsidRDefault="00FD6A3D" w:rsidP="00FA7F32">
      <w:pPr>
        <w:pStyle w:val="Heading1"/>
      </w:pPr>
      <w:r w:rsidRPr="00183CB7">
        <w:t>Introduction</w:t>
      </w:r>
    </w:p>
    <w:p w:rsidR="00FA7F32" w:rsidRDefault="00D22E5F" w:rsidP="00FA7F32">
      <w:pPr>
        <w:rPr>
          <w:lang w:val="en-GB"/>
        </w:rPr>
      </w:pPr>
      <w:r>
        <w:rPr>
          <w:lang w:val="en-GB"/>
        </w:rPr>
        <w:t>We discussion the general procedure of DL and UL based mobility in [1]</w:t>
      </w:r>
      <w:r w:rsidR="00BC6DF0">
        <w:rPr>
          <w:lang w:val="en-GB"/>
        </w:rPr>
        <w:t xml:space="preserve"> as well as the channel</w:t>
      </w:r>
      <w:r w:rsidR="00E755B4">
        <w:rPr>
          <w:lang w:val="en-GB"/>
        </w:rPr>
        <w:t xml:space="preserve">s </w:t>
      </w:r>
      <w:r w:rsidR="00BC6DF0">
        <w:rPr>
          <w:lang w:val="en-GB"/>
        </w:rPr>
        <w:t>needed to support those operations</w:t>
      </w:r>
      <w:r w:rsidR="00E755B4">
        <w:rPr>
          <w:lang w:val="en-GB"/>
        </w:rPr>
        <w:t xml:space="preserve"> [2][3][4]</w:t>
      </w:r>
      <w:r>
        <w:rPr>
          <w:lang w:val="en-GB"/>
        </w:rPr>
        <w:t xml:space="preserve">. </w:t>
      </w:r>
      <w:r w:rsidR="00FA7F32" w:rsidRPr="00FA7F32">
        <w:rPr>
          <w:lang w:val="en-GB"/>
        </w:rPr>
        <w:t xml:space="preserve">In this contribution we </w:t>
      </w:r>
      <w:r w:rsidR="00FA7F32">
        <w:rPr>
          <w:lang w:val="en-GB"/>
        </w:rPr>
        <w:t>consider two</w:t>
      </w:r>
      <w:r w:rsidR="00FA7F32" w:rsidRPr="00FA7F32">
        <w:rPr>
          <w:lang w:val="en-GB"/>
        </w:rPr>
        <w:t xml:space="preserve"> </w:t>
      </w:r>
      <w:r w:rsidR="00FA7F32">
        <w:rPr>
          <w:lang w:val="en-GB"/>
        </w:rPr>
        <w:t>categories of PUMICH designs, i.e., payload-based and payload-less, and provide designs for each category and evaluate their zone and cell capacity</w:t>
      </w:r>
      <w:r w:rsidR="00FA7F32" w:rsidRPr="00FA7F32">
        <w:rPr>
          <w:lang w:val="en-GB"/>
        </w:rPr>
        <w:t>.</w:t>
      </w:r>
      <w:r w:rsidR="00FA7F32">
        <w:rPr>
          <w:lang w:val="en-GB"/>
        </w:rPr>
        <w:t xml:space="preserve"> </w:t>
      </w:r>
    </w:p>
    <w:p w:rsidR="00FA7F32" w:rsidRPr="003E3A04" w:rsidRDefault="00FA7F32" w:rsidP="00FA7F32">
      <w:pPr>
        <w:rPr>
          <w:lang w:val="en-GB"/>
        </w:rPr>
      </w:pPr>
      <w:r>
        <w:rPr>
          <w:lang w:val="en-GB"/>
        </w:rPr>
        <w:t>We will show</w:t>
      </w:r>
      <w:r w:rsidRPr="00FA7F32">
        <w:rPr>
          <w:lang w:val="en-GB"/>
        </w:rPr>
        <w:t xml:space="preserve"> that a payload-based PUMICH design can have a cell-capacity of </w:t>
      </w:r>
      <w:r w:rsidR="00346969">
        <w:rPr>
          <w:lang w:val="en-GB"/>
        </w:rPr>
        <w:t>546</w:t>
      </w:r>
      <w:r w:rsidRPr="00FA7F32">
        <w:rPr>
          <w:lang w:val="en-GB"/>
        </w:rPr>
        <w:t xml:space="preserve"> UE’s per cell and a zone capacity proportional to the number of TRP’s in the zone, i.e., </w:t>
      </w:r>
      <w:r w:rsidR="00BE4E41">
        <w:rPr>
          <w:lang w:val="en-GB"/>
        </w:rPr>
        <w:t>27</w:t>
      </w:r>
      <w:r w:rsidRPr="00FA7F32">
        <w:rPr>
          <w:lang w:val="en-GB"/>
        </w:rPr>
        <w:t xml:space="preserve">0K assuming 500 TRP’s in the zone. </w:t>
      </w:r>
      <w:r>
        <w:rPr>
          <w:lang w:val="en-GB"/>
        </w:rPr>
        <w:t>We show</w:t>
      </w:r>
      <w:r w:rsidRPr="00FA7F32">
        <w:rPr>
          <w:lang w:val="en-GB"/>
        </w:rPr>
        <w:t xml:space="preserve"> that the capacity of a payload-less PUMICH scheme could be 420K UE’s per zone. </w:t>
      </w:r>
      <w:r w:rsidR="00CB31F9">
        <w:rPr>
          <w:lang w:val="en-GB"/>
        </w:rPr>
        <w:t xml:space="preserve">It is important to note that, in general payload based solution offers for resilience to the potential false alarm due to the fact that payload is CRC protected. </w:t>
      </w:r>
      <w:r w:rsidRPr="00FA7F32">
        <w:rPr>
          <w:lang w:val="en-GB"/>
        </w:rPr>
        <w:t>We al</w:t>
      </w:r>
      <w:r>
        <w:rPr>
          <w:lang w:val="en-GB"/>
        </w:rPr>
        <w:t>so demonstrate</w:t>
      </w:r>
      <w:r w:rsidRPr="00FA7F32">
        <w:rPr>
          <w:lang w:val="en-GB"/>
        </w:rPr>
        <w:t xml:space="preserve"> a general approach for designing a payload-less PUMICH design that can </w:t>
      </w:r>
      <w:r>
        <w:rPr>
          <w:lang w:val="en-GB"/>
        </w:rPr>
        <w:t xml:space="preserve">strike a </w:t>
      </w:r>
      <w:r w:rsidRPr="00FA7F32">
        <w:rPr>
          <w:lang w:val="en-GB"/>
        </w:rPr>
        <w:t xml:space="preserve">zone vs. cell </w:t>
      </w:r>
      <w:r w:rsidR="00AE3681">
        <w:rPr>
          <w:lang w:val="en-GB"/>
        </w:rPr>
        <w:t xml:space="preserve">capacity </w:t>
      </w:r>
      <w:r w:rsidRPr="00FA7F32">
        <w:rPr>
          <w:lang w:val="en-GB"/>
        </w:rPr>
        <w:t>balance.</w:t>
      </w:r>
    </w:p>
    <w:p w:rsidR="009C25CE" w:rsidRDefault="009C25CE" w:rsidP="009C25CE">
      <w:pPr>
        <w:pStyle w:val="Heading1"/>
        <w:jc w:val="both"/>
      </w:pPr>
      <w:r>
        <w:t>PUMICH Resource Allocation</w:t>
      </w:r>
    </w:p>
    <w:p w:rsidR="009C25CE" w:rsidRDefault="009C25CE" w:rsidP="00893B42">
      <w:pPr>
        <w:jc w:val="both"/>
        <w:rPr>
          <w:lang w:val="en-GB"/>
        </w:rPr>
      </w:pPr>
      <w:r>
        <w:rPr>
          <w:lang w:val="en-GB"/>
        </w:rPr>
        <w:t xml:space="preserve">Before evaluating </w:t>
      </w:r>
      <w:r w:rsidR="00893B42">
        <w:rPr>
          <w:lang w:val="en-GB"/>
        </w:rPr>
        <w:t xml:space="preserve">the </w:t>
      </w:r>
      <w:r>
        <w:rPr>
          <w:lang w:val="en-GB"/>
        </w:rPr>
        <w:t>capacity of any specific PUMICH design, one needs to specify the amount of system resources allocated</w:t>
      </w:r>
      <w:r w:rsidR="00893B42">
        <w:rPr>
          <w:lang w:val="en-GB"/>
        </w:rPr>
        <w:t xml:space="preserve"> for this purpose</w:t>
      </w:r>
      <w:r>
        <w:rPr>
          <w:lang w:val="en-GB"/>
        </w:rPr>
        <w:t xml:space="preserve">. In this contribution we assume that 4% of </w:t>
      </w:r>
      <w:r w:rsidR="00893B42">
        <w:rPr>
          <w:lang w:val="en-GB"/>
        </w:rPr>
        <w:t xml:space="preserve">total </w:t>
      </w:r>
      <w:r>
        <w:rPr>
          <w:lang w:val="en-GB"/>
        </w:rPr>
        <w:t xml:space="preserve">system resources is dedicated to PUMICH. This is roughly the same percentage </w:t>
      </w:r>
      <w:r w:rsidR="00893B42">
        <w:rPr>
          <w:lang w:val="en-GB"/>
        </w:rPr>
        <w:t xml:space="preserve">as that allocated to </w:t>
      </w:r>
      <w:r>
        <w:rPr>
          <w:lang w:val="en-GB"/>
        </w:rPr>
        <w:t>P</w:t>
      </w:r>
      <w:r w:rsidR="00893B42">
        <w:rPr>
          <w:lang w:val="en-GB"/>
        </w:rPr>
        <w:t>RACH in an LTE deployment</w:t>
      </w:r>
      <w:r>
        <w:rPr>
          <w:lang w:val="en-GB"/>
        </w:rPr>
        <w:t xml:space="preserve"> with</w:t>
      </w:r>
      <w:r w:rsidR="00893B42">
        <w:rPr>
          <w:lang w:val="en-GB"/>
        </w:rPr>
        <w:t xml:space="preserve"> 20MHz system bandwidth</w:t>
      </w:r>
      <w:r w:rsidR="000506E8">
        <w:rPr>
          <w:lang w:val="en-GB"/>
        </w:rPr>
        <w:t xml:space="preserve"> and</w:t>
      </w:r>
      <w:r w:rsidR="00893B42">
        <w:rPr>
          <w:lang w:val="en-GB"/>
        </w:rPr>
        <w:t xml:space="preserve"> PRACH configuration index 14, where</w:t>
      </w:r>
      <w:r>
        <w:rPr>
          <w:lang w:val="en-GB"/>
        </w:rPr>
        <w:t xml:space="preserve"> 1MHz </w:t>
      </w:r>
      <w:r w:rsidR="00893B42">
        <w:rPr>
          <w:lang w:val="en-GB"/>
        </w:rPr>
        <w:t xml:space="preserve">of bandwidth </w:t>
      </w:r>
      <w:r>
        <w:rPr>
          <w:lang w:val="en-GB"/>
        </w:rPr>
        <w:t xml:space="preserve">is allocated to PRACH </w:t>
      </w:r>
      <w:r w:rsidR="00893B42">
        <w:rPr>
          <w:lang w:val="en-GB"/>
        </w:rPr>
        <w:t>on every subframe.</w:t>
      </w:r>
    </w:p>
    <w:p w:rsidR="00893B42" w:rsidRDefault="00893B42" w:rsidP="00893B42">
      <w:pPr>
        <w:jc w:val="both"/>
        <w:rPr>
          <w:lang w:val="en-GB"/>
        </w:rPr>
      </w:pPr>
      <w:r>
        <w:rPr>
          <w:lang w:val="en-GB"/>
        </w:rPr>
        <w:t xml:space="preserve">It is further assumed that the NR deployment has 80MHz system bandwidth, 5MHz PUMICH bandwidth, </w:t>
      </w:r>
      <w:r w:rsidR="00D81AC3">
        <w:rPr>
          <w:lang w:val="en-GB"/>
        </w:rPr>
        <w:t>PUMICH</w:t>
      </w:r>
      <w:r w:rsidR="003C783B">
        <w:rPr>
          <w:lang w:val="en-GB"/>
        </w:rPr>
        <w:t xml:space="preserve"> slot</w:t>
      </w:r>
      <w:r>
        <w:rPr>
          <w:lang w:val="en-GB"/>
        </w:rPr>
        <w:t xml:space="preserve"> duration of 500</w:t>
      </w:r>
      <w:r w:rsidR="00DE45A2">
        <w:rPr>
          <w:lang w:val="en-GB"/>
        </w:rPr>
        <w:t xml:space="preserve"> microseconds</w:t>
      </w:r>
      <w:r>
        <w:rPr>
          <w:lang w:val="en-GB"/>
        </w:rPr>
        <w:t>, and a DRX-cycle of 1.28 seconds.</w:t>
      </w:r>
      <w:r w:rsidR="00DE45A2">
        <w:rPr>
          <w:lang w:val="en-GB"/>
        </w:rPr>
        <w:t xml:space="preserve"> Under these assumptions there are around 1.6K PUMICH occasions per DRX cycle</w:t>
      </w:r>
      <w:r w:rsidR="000506E8">
        <w:rPr>
          <w:lang w:val="en-GB"/>
        </w:rPr>
        <w:t xml:space="preserve"> for UE’s to utilize</w:t>
      </w:r>
      <w:r w:rsidR="00DE45A2">
        <w:rPr>
          <w:lang w:val="en-GB"/>
        </w:rPr>
        <w:t xml:space="preserve">. </w:t>
      </w:r>
      <w:r w:rsidR="000506E8">
        <w:rPr>
          <w:lang w:val="en-GB"/>
        </w:rPr>
        <w:t xml:space="preserve">This data is summarized in </w:t>
      </w:r>
      <w:r w:rsidR="00F26FFF">
        <w:rPr>
          <w:lang w:val="en-GB"/>
        </w:rPr>
        <w:fldChar w:fldCharType="begin"/>
      </w:r>
      <w:r w:rsidR="00F26FFF">
        <w:rPr>
          <w:lang w:val="en-GB"/>
        </w:rPr>
        <w:instrText xml:space="preserve"> REF _Ref465938425 \h </w:instrText>
      </w:r>
      <w:r w:rsidR="00F26FFF">
        <w:rPr>
          <w:lang w:val="en-GB"/>
        </w:rPr>
      </w:r>
      <w:r w:rsidR="00F26FFF">
        <w:rPr>
          <w:lang w:val="en-GB"/>
        </w:rPr>
        <w:fldChar w:fldCharType="separate"/>
      </w:r>
      <w:r w:rsidR="00F26FFF">
        <w:t xml:space="preserve">Table </w:t>
      </w:r>
      <w:r w:rsidR="00F26FFF">
        <w:rPr>
          <w:noProof/>
        </w:rPr>
        <w:t>1</w:t>
      </w:r>
      <w:r w:rsidR="00F26FFF">
        <w:rPr>
          <w:lang w:val="en-GB"/>
        </w:rPr>
        <w:fldChar w:fldCharType="end"/>
      </w:r>
      <w:r w:rsidR="000506E8">
        <w:rPr>
          <w:lang w:val="en-GB"/>
        </w:rPr>
        <w:t>.</w:t>
      </w:r>
    </w:p>
    <w:p w:rsidR="00E85B9D" w:rsidRPr="006C1FCF" w:rsidRDefault="00E85B9D" w:rsidP="00E85B9D">
      <w:pPr>
        <w:pStyle w:val="Caption"/>
        <w:keepNext/>
        <w:jc w:val="center"/>
        <w:rPr>
          <w:b w:val="0"/>
        </w:rPr>
      </w:pPr>
      <w:bookmarkStart w:id="3" w:name="_Ref46593842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 w:rsidR="006C1FCF">
        <w:t xml:space="preserve">: </w:t>
      </w:r>
      <w:r w:rsidR="006C1FCF">
        <w:rPr>
          <w:b w:val="0"/>
        </w:rPr>
        <w:t>PUMICH</w:t>
      </w:r>
      <w:r w:rsidR="006C7B70">
        <w:rPr>
          <w:b w:val="0"/>
        </w:rPr>
        <w:t xml:space="preserve"> </w:t>
      </w:r>
      <w:r w:rsidR="00CB38D2">
        <w:rPr>
          <w:b w:val="0"/>
        </w:rPr>
        <w:t>resource allocation</w:t>
      </w:r>
      <w:r w:rsidR="00F26FFF">
        <w:rPr>
          <w:b w:val="0"/>
        </w:rPr>
        <w:t xml:space="preserve"> </w:t>
      </w:r>
      <w:r w:rsidR="006C7B70">
        <w:rPr>
          <w:b w:val="0"/>
        </w:rPr>
        <w:t>and resulting number of PUMICH occasions per DRX cycle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66"/>
        <w:gridCol w:w="878"/>
      </w:tblGrid>
      <w:tr w:rsidR="00DE45A2" w:rsidTr="00DE45A2">
        <w:trPr>
          <w:jc w:val="center"/>
        </w:trPr>
        <w:tc>
          <w:tcPr>
            <w:tcW w:w="0" w:type="auto"/>
          </w:tcPr>
          <w:p w:rsidR="00DE45A2" w:rsidRDefault="009702E3" w:rsidP="00DE45A2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Total </w:t>
            </w:r>
            <w:r w:rsidR="00DE45A2">
              <w:rPr>
                <w:lang w:val="en-GB"/>
              </w:rPr>
              <w:t>System BW</w:t>
            </w:r>
          </w:p>
        </w:tc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80 MHz</w:t>
            </w:r>
          </w:p>
        </w:tc>
      </w:tr>
      <w:tr w:rsidR="00DE45A2" w:rsidTr="00DE45A2">
        <w:trPr>
          <w:jc w:val="center"/>
        </w:trPr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PUMICH BW</w:t>
            </w:r>
          </w:p>
        </w:tc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5 MHz</w:t>
            </w:r>
          </w:p>
        </w:tc>
      </w:tr>
      <w:tr w:rsidR="00DE45A2" w:rsidTr="00DE45A2">
        <w:trPr>
          <w:jc w:val="center"/>
        </w:trPr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Subframe duration</w:t>
            </w:r>
          </w:p>
        </w:tc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500 us</w:t>
            </w:r>
          </w:p>
        </w:tc>
      </w:tr>
      <w:tr w:rsidR="00DE45A2" w:rsidTr="00DE45A2">
        <w:trPr>
          <w:jc w:val="center"/>
        </w:trPr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DRX cycle</w:t>
            </w:r>
          </w:p>
        </w:tc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1.28 sec</w:t>
            </w:r>
          </w:p>
        </w:tc>
      </w:tr>
      <w:tr w:rsidR="00DE45A2" w:rsidTr="00DE45A2">
        <w:trPr>
          <w:jc w:val="center"/>
        </w:trPr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Sys. resources allocated to PUMICH</w:t>
            </w:r>
          </w:p>
        </w:tc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4%</w:t>
            </w:r>
          </w:p>
        </w:tc>
      </w:tr>
      <w:tr w:rsidR="00DE45A2" w:rsidTr="00DE45A2">
        <w:trPr>
          <w:jc w:val="center"/>
        </w:trPr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PUMICH occasions per DRX cycle</w:t>
            </w:r>
          </w:p>
        </w:tc>
        <w:tc>
          <w:tcPr>
            <w:tcW w:w="0" w:type="auto"/>
          </w:tcPr>
          <w:p w:rsidR="00DE45A2" w:rsidRDefault="00DE45A2" w:rsidP="00893B42">
            <w:pPr>
              <w:rPr>
                <w:lang w:val="en-GB"/>
              </w:rPr>
            </w:pPr>
            <w:r>
              <w:rPr>
                <w:lang w:val="en-GB"/>
              </w:rPr>
              <w:t>1640</w:t>
            </w:r>
          </w:p>
        </w:tc>
      </w:tr>
    </w:tbl>
    <w:p w:rsidR="009C25CE" w:rsidRDefault="009C25CE" w:rsidP="00B94D0D">
      <w:pPr>
        <w:spacing w:before="240"/>
        <w:jc w:val="both"/>
        <w:rPr>
          <w:lang w:val="en-GB"/>
        </w:rPr>
      </w:pPr>
    </w:p>
    <w:p w:rsidR="00B61552" w:rsidRPr="003E3A04" w:rsidRDefault="00B61552" w:rsidP="00B94D0D">
      <w:pPr>
        <w:spacing w:before="240"/>
        <w:jc w:val="both"/>
        <w:rPr>
          <w:lang w:val="en-GB"/>
        </w:rPr>
      </w:pPr>
    </w:p>
    <w:p w:rsidR="00EE07D1" w:rsidRDefault="00830CE4" w:rsidP="00EE07D1">
      <w:pPr>
        <w:pStyle w:val="Heading1"/>
        <w:jc w:val="both"/>
      </w:pPr>
      <w:r>
        <w:t xml:space="preserve">Capacity for </w:t>
      </w:r>
      <w:r w:rsidR="00636855">
        <w:t xml:space="preserve">Payload-based </w:t>
      </w:r>
      <w:r w:rsidR="007C41E9">
        <w:t>PUMICH</w:t>
      </w:r>
    </w:p>
    <w:p w:rsidR="00BF3F9B" w:rsidRDefault="00BF3F9B" w:rsidP="005C35DE">
      <w:pPr>
        <w:jc w:val="both"/>
        <w:rPr>
          <w:lang w:val="en-GB"/>
        </w:rPr>
      </w:pPr>
      <w:r>
        <w:rPr>
          <w:lang w:val="en-GB"/>
        </w:rPr>
        <w:t xml:space="preserve">In this section we evaluate the capacity of a payload-based PUMICH design where the preamble </w:t>
      </w:r>
      <w:r w:rsidR="000E6D2A">
        <w:rPr>
          <w:lang w:val="en-GB"/>
        </w:rPr>
        <w:t>and payload are</w:t>
      </w:r>
      <w:r>
        <w:rPr>
          <w:lang w:val="en-GB"/>
        </w:rPr>
        <w:t xml:space="preserve"> sent over the first </w:t>
      </w:r>
      <w:r w:rsidR="000E6D2A">
        <w:rPr>
          <w:lang w:val="en-GB"/>
        </w:rPr>
        <w:t xml:space="preserve">and second </w:t>
      </w:r>
      <w:r>
        <w:rPr>
          <w:lang w:val="en-GB"/>
        </w:rPr>
        <w:t>RACH symbol</w:t>
      </w:r>
      <w:r w:rsidR="000E6D2A">
        <w:rPr>
          <w:lang w:val="en-GB"/>
        </w:rPr>
        <w:t>s</w:t>
      </w:r>
      <w:r w:rsidR="00561D3A">
        <w:rPr>
          <w:lang w:val="en-GB"/>
        </w:rPr>
        <w:t xml:space="preserve"> as illustrated in Figure 1</w:t>
      </w:r>
      <w:r w:rsidR="000E6D2A">
        <w:rPr>
          <w:lang w:val="en-GB"/>
        </w:rPr>
        <w:t>, respectively. The preamble</w:t>
      </w:r>
      <w:r>
        <w:rPr>
          <w:lang w:val="en-GB"/>
        </w:rPr>
        <w:t xml:space="preserve"> consists of two ZC </w:t>
      </w:r>
      <w:r w:rsidR="002D4357">
        <w:rPr>
          <w:lang w:val="en-GB"/>
        </w:rPr>
        <w:t xml:space="preserve">RACH </w:t>
      </w:r>
      <w:r>
        <w:rPr>
          <w:lang w:val="en-GB"/>
        </w:rPr>
        <w:t>sequences</w:t>
      </w:r>
      <w:r w:rsidR="000E6D2A">
        <w:rPr>
          <w:lang w:val="en-GB"/>
        </w:rPr>
        <w:t xml:space="preserve"> drawn randomly from a pool of 64</w:t>
      </w:r>
      <w:r>
        <w:rPr>
          <w:lang w:val="en-GB"/>
        </w:rPr>
        <w:t>. The payload</w:t>
      </w:r>
      <w:r w:rsidR="00FD67CF">
        <w:rPr>
          <w:lang w:val="en-GB"/>
        </w:rPr>
        <w:t xml:space="preserve"> consists of a 28 bits information and 12 bit CRC</w:t>
      </w:r>
      <w:r w:rsidR="000E6D2A">
        <w:rPr>
          <w:lang w:val="en-GB"/>
        </w:rPr>
        <w:t>,</w:t>
      </w:r>
      <w:r>
        <w:rPr>
          <w:lang w:val="en-GB"/>
        </w:rPr>
        <w:t xml:space="preserve"> for a total payload size of 40 bits</w:t>
      </w:r>
      <w:r w:rsidR="000E6D2A">
        <w:rPr>
          <w:lang w:val="en-GB"/>
        </w:rPr>
        <w:t>.</w:t>
      </w:r>
      <w:r w:rsidR="0078095A">
        <w:rPr>
          <w:lang w:val="en-GB"/>
        </w:rPr>
        <w:t xml:space="preserve"> </w:t>
      </w:r>
      <w:r w:rsidR="0078095A">
        <w:rPr>
          <w:lang w:val="en-GB"/>
        </w:rPr>
        <w:fldChar w:fldCharType="begin"/>
      </w:r>
      <w:r w:rsidR="0078095A">
        <w:rPr>
          <w:lang w:val="en-GB"/>
        </w:rPr>
        <w:instrText xml:space="preserve"> REF _Ref465935553 \h </w:instrText>
      </w:r>
      <w:r w:rsidR="005C35DE">
        <w:rPr>
          <w:lang w:val="en-GB"/>
        </w:rPr>
        <w:instrText xml:space="preserve"> \* MERGEFORMAT </w:instrText>
      </w:r>
      <w:r w:rsidR="0078095A">
        <w:rPr>
          <w:lang w:val="en-GB"/>
        </w:rPr>
      </w:r>
      <w:r w:rsidR="0078095A">
        <w:rPr>
          <w:lang w:val="en-GB"/>
        </w:rPr>
        <w:fldChar w:fldCharType="separate"/>
      </w:r>
      <w:r w:rsidR="0078095A">
        <w:t xml:space="preserve">Figure </w:t>
      </w:r>
      <w:r w:rsidR="0078095A">
        <w:rPr>
          <w:noProof/>
        </w:rPr>
        <w:t>1</w:t>
      </w:r>
      <w:r w:rsidR="0078095A">
        <w:rPr>
          <w:lang w:val="en-GB"/>
        </w:rPr>
        <w:fldChar w:fldCharType="end"/>
      </w:r>
      <w:r w:rsidR="0078095A">
        <w:rPr>
          <w:lang w:val="en-GB"/>
        </w:rPr>
        <w:t xml:space="preserve"> shows details of this design. To determine the capacity of this </w:t>
      </w:r>
      <w:r w:rsidR="00830CE4">
        <w:rPr>
          <w:lang w:val="en-GB"/>
        </w:rPr>
        <w:t xml:space="preserve">scheme </w:t>
      </w:r>
      <w:r w:rsidR="0078095A">
        <w:rPr>
          <w:lang w:val="en-GB"/>
        </w:rPr>
        <w:t xml:space="preserve">two </w:t>
      </w:r>
      <w:r w:rsidR="007F112D">
        <w:rPr>
          <w:lang w:val="en-GB"/>
        </w:rPr>
        <w:t>capacity limiting factors</w:t>
      </w:r>
      <w:r w:rsidR="00A12952">
        <w:rPr>
          <w:lang w:val="en-GB"/>
        </w:rPr>
        <w:t xml:space="preserve"> should be considered</w:t>
      </w:r>
      <w:r w:rsidR="00830CE4">
        <w:rPr>
          <w:lang w:val="en-GB"/>
        </w:rPr>
        <w:t>:</w:t>
      </w:r>
      <w:r w:rsidR="0078095A">
        <w:rPr>
          <w:lang w:val="en-GB"/>
        </w:rPr>
        <w:t xml:space="preserve"> </w:t>
      </w:r>
      <w:r w:rsidR="00A12952">
        <w:rPr>
          <w:lang w:val="en-GB"/>
        </w:rPr>
        <w:t>preamble collision</w:t>
      </w:r>
      <w:r w:rsidR="007F112D">
        <w:rPr>
          <w:lang w:val="en-GB"/>
        </w:rPr>
        <w:t xml:space="preserve"> and </w:t>
      </w:r>
      <w:r w:rsidR="00830CE4">
        <w:rPr>
          <w:lang w:val="en-GB"/>
        </w:rPr>
        <w:t>payload detection</w:t>
      </w:r>
      <w:r w:rsidR="00893B42">
        <w:rPr>
          <w:lang w:val="en-GB"/>
        </w:rPr>
        <w:t>.</w:t>
      </w:r>
    </w:p>
    <w:p w:rsidR="00BF3F9B" w:rsidRDefault="00BF3F9B" w:rsidP="00BF3F9B">
      <w:pPr>
        <w:keepNext/>
        <w:jc w:val="center"/>
      </w:pPr>
      <w:r w:rsidRPr="00BF3F9B">
        <w:object w:dxaOrig="5397" w:dyaOrig="3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35pt;height:181.35pt" o:ole="">
            <v:imagedata r:id="rId12" o:title=""/>
          </v:shape>
          <o:OLEObject Type="Embed" ProgID="Visio.Drawing.11" ShapeID="_x0000_i1025" DrawAspect="Content" ObjectID="_1539786957" r:id="rId13"/>
        </w:object>
      </w:r>
    </w:p>
    <w:p w:rsidR="00BF3F9B" w:rsidRPr="00BF3F9B" w:rsidRDefault="00BF3F9B" w:rsidP="00BF3F9B">
      <w:pPr>
        <w:pStyle w:val="Caption"/>
        <w:jc w:val="center"/>
        <w:rPr>
          <w:lang w:val="en-GB"/>
        </w:rPr>
      </w:pPr>
      <w:bookmarkStart w:id="4" w:name="_Ref465935553"/>
      <w:r>
        <w:t xml:space="preserve">Figure </w:t>
      </w:r>
      <w:fldSimple w:instr=" SEQ Figure \* ARABIC ">
        <w:r w:rsidR="00CB0FBA">
          <w:rPr>
            <w:noProof/>
          </w:rPr>
          <w:t>1</w:t>
        </w:r>
      </w:fldSimple>
      <w:bookmarkEnd w:id="4"/>
      <w:r w:rsidR="00CB0FBA">
        <w:t xml:space="preserve">: </w:t>
      </w:r>
      <w:r w:rsidR="00CB0FBA" w:rsidRPr="00CB0FBA">
        <w:rPr>
          <w:b w:val="0"/>
        </w:rPr>
        <w:t>Payload-based PUMICH</w:t>
      </w:r>
    </w:p>
    <w:p w:rsidR="007C41E9" w:rsidRPr="00D842CD" w:rsidRDefault="007C41E9" w:rsidP="00D842CD">
      <w:pPr>
        <w:pStyle w:val="Heading2"/>
        <w:numPr>
          <w:ilvl w:val="0"/>
          <w:numId w:val="0"/>
        </w:numPr>
      </w:pPr>
    </w:p>
    <w:p w:rsidR="007C41E9" w:rsidRDefault="00A63D58" w:rsidP="007C41E9">
      <w:pPr>
        <w:pStyle w:val="Heading2"/>
      </w:pPr>
      <w:r>
        <w:t xml:space="preserve">Payload-based PUMICH </w:t>
      </w:r>
      <w:r w:rsidR="007C41E9">
        <w:t>Capacity wit</w:t>
      </w:r>
      <w:r w:rsidR="00A12952">
        <w:t>h regards to Preamble Collision</w:t>
      </w:r>
    </w:p>
    <w:p w:rsidR="006F7504" w:rsidRPr="00A63D58" w:rsidRDefault="00AD07A5" w:rsidP="00A63D58">
      <w:pPr>
        <w:jc w:val="both"/>
        <w:rPr>
          <w:lang w:val="en-GB"/>
        </w:rPr>
      </w:pPr>
      <w:r>
        <w:rPr>
          <w:lang w:val="en-GB"/>
        </w:rPr>
        <w:t>To decode the RACH message</w:t>
      </w:r>
      <w:r w:rsidRPr="00AD07A5">
        <w:rPr>
          <w:lang w:val="en-GB"/>
        </w:rPr>
        <w:t xml:space="preserve">, </w:t>
      </w:r>
      <w:r>
        <w:rPr>
          <w:lang w:val="en-GB"/>
        </w:rPr>
        <w:t>the TRP need</w:t>
      </w:r>
      <w:r w:rsidR="006E5863">
        <w:rPr>
          <w:lang w:val="en-GB"/>
        </w:rPr>
        <w:t>s</w:t>
      </w:r>
      <w:r>
        <w:rPr>
          <w:lang w:val="en-GB"/>
        </w:rPr>
        <w:t xml:space="preserve"> to receive at least one of the </w:t>
      </w:r>
      <w:r w:rsidRPr="00AD07A5">
        <w:rPr>
          <w:lang w:val="en-GB"/>
        </w:rPr>
        <w:t xml:space="preserve">RACH sequences sent as </w:t>
      </w:r>
      <w:r>
        <w:rPr>
          <w:lang w:val="en-GB"/>
        </w:rPr>
        <w:t xml:space="preserve">part of the </w:t>
      </w:r>
      <w:r w:rsidRPr="00AD07A5">
        <w:rPr>
          <w:lang w:val="en-GB"/>
        </w:rPr>
        <w:t>preamble</w:t>
      </w:r>
      <w:r w:rsidR="00A63D58">
        <w:rPr>
          <w:lang w:val="en-GB"/>
        </w:rPr>
        <w:t xml:space="preserve"> </w:t>
      </w:r>
      <w:r>
        <w:rPr>
          <w:lang w:val="en-GB"/>
        </w:rPr>
        <w:t xml:space="preserve">free of collision. This way, the collision-free RACH sequence can </w:t>
      </w:r>
      <w:r w:rsidR="006E5863">
        <w:rPr>
          <w:lang w:val="en-GB"/>
        </w:rPr>
        <w:t xml:space="preserve">be used </w:t>
      </w:r>
      <w:r>
        <w:rPr>
          <w:lang w:val="en-GB"/>
        </w:rPr>
        <w:t>as DM-RS</w:t>
      </w:r>
      <w:r w:rsidR="005C35DE">
        <w:rPr>
          <w:lang w:val="en-GB"/>
        </w:rPr>
        <w:t xml:space="preserve"> for </w:t>
      </w:r>
      <w:r w:rsidR="006E5863">
        <w:rPr>
          <w:lang w:val="en-GB"/>
        </w:rPr>
        <w:t xml:space="preserve">decoding the </w:t>
      </w:r>
      <w:r w:rsidR="005C35DE">
        <w:rPr>
          <w:lang w:val="en-GB"/>
        </w:rPr>
        <w:t>RACH message</w:t>
      </w:r>
      <w:r>
        <w:rPr>
          <w:lang w:val="en-GB"/>
        </w:rPr>
        <w:t xml:space="preserve">. Targeting </w:t>
      </w:r>
      <w:r w:rsidR="006E5863">
        <w:rPr>
          <w:lang w:val="en-GB"/>
        </w:rPr>
        <w:t xml:space="preserve">less than </w:t>
      </w:r>
      <w:r>
        <w:rPr>
          <w:lang w:val="en-GB"/>
        </w:rPr>
        <w:t xml:space="preserve">1% </w:t>
      </w:r>
      <w:r w:rsidR="006E5863">
        <w:rPr>
          <w:lang w:val="en-GB"/>
        </w:rPr>
        <w:t>double-</w:t>
      </w:r>
      <w:r>
        <w:rPr>
          <w:lang w:val="en-GB"/>
        </w:rPr>
        <w:t>collision</w:t>
      </w:r>
      <w:r w:rsidR="006E5863">
        <w:rPr>
          <w:lang w:val="en-GB"/>
        </w:rPr>
        <w:t>s</w:t>
      </w:r>
      <w:r>
        <w:rPr>
          <w:lang w:val="en-GB"/>
        </w:rPr>
        <w:t xml:space="preserve"> requires </w:t>
      </w:r>
      <w:r w:rsidR="005C35DE">
        <w:rPr>
          <w:lang w:val="en-GB"/>
        </w:rPr>
        <w:t xml:space="preserve">the </w:t>
      </w:r>
      <w:r w:rsidR="006E5863">
        <w:rPr>
          <w:lang w:val="en-GB"/>
        </w:rPr>
        <w:t>collision rate for</w:t>
      </w:r>
      <w:r>
        <w:rPr>
          <w:lang w:val="en-GB"/>
        </w:rPr>
        <w:t xml:space="preserve"> each of the two RACH sequences not </w:t>
      </w:r>
      <w:r w:rsidR="005C35DE">
        <w:rPr>
          <w:lang w:val="en-GB"/>
        </w:rPr>
        <w:t xml:space="preserve">to </w:t>
      </w:r>
      <w:r>
        <w:rPr>
          <w:lang w:val="en-GB"/>
        </w:rPr>
        <w:t xml:space="preserve">exceed 10%. </w:t>
      </w:r>
      <w:r w:rsidR="00CF60A3">
        <w:rPr>
          <w:lang w:val="en-GB"/>
        </w:rPr>
        <w:t xml:space="preserve">It is important to note that the CRC of the payload can be used to reduce the false alarm or to confirm the RACH sequence detection. </w:t>
      </w:r>
      <w:r w:rsidR="005C35DE">
        <w:rPr>
          <w:lang w:val="en-GB"/>
        </w:rPr>
        <w:t xml:space="preserve">For </w:t>
      </w:r>
      <w:r w:rsidR="006E5863">
        <w:rPr>
          <w:lang w:val="en-GB"/>
        </w:rPr>
        <w:t xml:space="preserve">a </w:t>
      </w:r>
      <w:r w:rsidR="005C35DE">
        <w:rPr>
          <w:lang w:val="en-GB"/>
        </w:rPr>
        <w:t>pool</w:t>
      </w:r>
      <w:r w:rsidR="00B3129C">
        <w:rPr>
          <w:lang w:val="en-GB"/>
        </w:rPr>
        <w:t>-size</w:t>
      </w:r>
      <w:r w:rsidR="006E5863">
        <w:rPr>
          <w:lang w:val="en-GB"/>
        </w:rPr>
        <w:t xml:space="preserve"> </w:t>
      </w:r>
      <w:r w:rsidR="005C35DE">
        <w:rPr>
          <w:lang w:val="en-GB"/>
        </w:rPr>
        <w:t xml:space="preserve">of 64, this translates to </w:t>
      </w:r>
      <w:r w:rsidR="00733195">
        <w:rPr>
          <w:lang w:val="en-GB"/>
        </w:rPr>
        <w:t>7</w:t>
      </w:r>
      <w:r w:rsidR="006E5863">
        <w:rPr>
          <w:lang w:val="en-GB"/>
        </w:rPr>
        <w:t xml:space="preserve"> interfering UE’s sending PUMICH</w:t>
      </w:r>
      <w:r w:rsidR="00B3129C">
        <w:rPr>
          <w:lang w:val="en-GB"/>
        </w:rPr>
        <w:t xml:space="preserve"> </w:t>
      </w:r>
      <w:proofErr w:type="gramStart"/>
      <w:r w:rsidR="006E5863">
        <w:rPr>
          <w:lang w:val="en-GB"/>
        </w:rPr>
        <w:t xml:space="preserve">( </w:t>
      </w:r>
      <w:r w:rsidR="00427C96">
        <w:rPr>
          <w:lang w:val="en-GB"/>
        </w:rPr>
        <w:t>(</w:t>
      </w:r>
      <w:proofErr w:type="gramEnd"/>
      <w:r w:rsidR="00427C96">
        <w:rPr>
          <w:lang w:val="en-GB"/>
        </w:rPr>
        <w:t>1-1/</w:t>
      </w:r>
      <w:r w:rsidR="006E5863">
        <w:rPr>
          <w:lang w:val="en-GB"/>
        </w:rPr>
        <w:t>64</w:t>
      </w:r>
      <w:r w:rsidR="00427C96">
        <w:rPr>
          <w:lang w:val="en-GB"/>
        </w:rPr>
        <w:t>)^6</w:t>
      </w:r>
      <w:r w:rsidR="00BE32CB">
        <w:rPr>
          <w:lang w:val="en-GB"/>
        </w:rPr>
        <w:t>=0.91</w:t>
      </w:r>
      <w:r w:rsidR="006E5863">
        <w:rPr>
          <w:lang w:val="en-GB"/>
        </w:rPr>
        <w:t>).</w:t>
      </w:r>
      <w:r w:rsidR="005C35DE">
        <w:rPr>
          <w:lang w:val="en-GB"/>
        </w:rPr>
        <w:t xml:space="preserve"> </w:t>
      </w:r>
      <w:r w:rsidR="000B451C">
        <w:rPr>
          <w:lang w:val="en-GB"/>
        </w:rPr>
        <w:t xml:space="preserve">Assume that this approach also achieve the spatial reuse automatically, we assume </w:t>
      </w:r>
      <w:r w:rsidR="00A63D58">
        <w:rPr>
          <w:lang w:val="en-GB"/>
        </w:rPr>
        <w:t>he</w:t>
      </w:r>
      <w:r w:rsidR="006E5863">
        <w:rPr>
          <w:lang w:val="en-GB"/>
        </w:rPr>
        <w:t xml:space="preserve"> UE’s in the 1</w:t>
      </w:r>
      <w:r w:rsidR="006E5863" w:rsidRPr="006E5863">
        <w:rPr>
          <w:vertAlign w:val="superscript"/>
          <w:lang w:val="en-GB"/>
        </w:rPr>
        <w:t>st</w:t>
      </w:r>
      <w:r w:rsidR="006E5863">
        <w:rPr>
          <w:lang w:val="en-GB"/>
        </w:rPr>
        <w:t>-tier n</w:t>
      </w:r>
      <w:r w:rsidR="00B3129C">
        <w:rPr>
          <w:lang w:val="en-GB"/>
        </w:rPr>
        <w:t>eighbours of a</w:t>
      </w:r>
      <w:r w:rsidR="006E5863">
        <w:rPr>
          <w:lang w:val="en-GB"/>
        </w:rPr>
        <w:t xml:space="preserve"> </w:t>
      </w:r>
      <w:r w:rsidR="00A63D58">
        <w:rPr>
          <w:lang w:val="en-GB"/>
        </w:rPr>
        <w:t>TRP</w:t>
      </w:r>
      <w:r w:rsidR="00B3129C">
        <w:rPr>
          <w:lang w:val="en-GB"/>
        </w:rPr>
        <w:t xml:space="preserve"> </w:t>
      </w:r>
      <w:r w:rsidR="00A63D58">
        <w:rPr>
          <w:lang w:val="en-GB"/>
        </w:rPr>
        <w:t xml:space="preserve">interfere, </w:t>
      </w:r>
      <w:r w:rsidR="000D041A">
        <w:rPr>
          <w:lang w:val="en-GB"/>
        </w:rPr>
        <w:t>this means that at most 7</w:t>
      </w:r>
      <w:r w:rsidR="00A63D58">
        <w:rPr>
          <w:lang w:val="en-GB"/>
        </w:rPr>
        <w:t xml:space="preserve">/21 UE’s per TRP can utilize the same PUMICH occasion. Since there are 1.6K such PUMICH occasions per DRX cycle, then preamble collision </w:t>
      </w:r>
      <w:r w:rsidR="00163D3F">
        <w:rPr>
          <w:lang w:val="en-GB"/>
        </w:rPr>
        <w:t>sets a limit of 546</w:t>
      </w:r>
      <w:r w:rsidR="00B3129C">
        <w:rPr>
          <w:lang w:val="en-GB"/>
        </w:rPr>
        <w:t xml:space="preserve"> UE’s per TRP on</w:t>
      </w:r>
      <w:r w:rsidR="00A63D58">
        <w:rPr>
          <w:lang w:val="en-GB"/>
        </w:rPr>
        <w:t xml:space="preserve"> PUMICH capacity. </w:t>
      </w:r>
    </w:p>
    <w:p w:rsidR="0072145E" w:rsidRDefault="00A63D58" w:rsidP="006D2F46">
      <w:pPr>
        <w:pStyle w:val="Heading2"/>
      </w:pPr>
      <w:r>
        <w:t xml:space="preserve">Payload-based PUMICH Capacity </w:t>
      </w:r>
      <w:r w:rsidR="007C41E9">
        <w:t>with regards to Payload</w:t>
      </w:r>
      <w:r>
        <w:t xml:space="preserve"> Detection</w:t>
      </w:r>
    </w:p>
    <w:p w:rsidR="006D2F46" w:rsidRPr="006E54C3" w:rsidRDefault="005C3112" w:rsidP="006E54C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_Ref465935553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depicts the o</w:t>
      </w:r>
      <w:r w:rsidR="000C6FCE">
        <w:rPr>
          <w:lang w:val="en-GB"/>
        </w:rPr>
        <w:t xml:space="preserve">verall PRACH detection error rates for ETU and EPA </w:t>
      </w:r>
      <w:r w:rsidR="00EE7D69">
        <w:rPr>
          <w:lang w:val="en-GB"/>
        </w:rPr>
        <w:t xml:space="preserve">with 1Tx antenna at the UE and </w:t>
      </w:r>
      <w:r w:rsidR="00CE64A0">
        <w:rPr>
          <w:lang w:val="en-GB"/>
        </w:rPr>
        <w:t>8</w:t>
      </w:r>
      <w:r w:rsidR="00EE7D69">
        <w:rPr>
          <w:lang w:val="en-GB"/>
        </w:rPr>
        <w:t xml:space="preserve"> Rx antennas at the TRP</w:t>
      </w:r>
      <w:r>
        <w:rPr>
          <w:lang w:val="en-GB"/>
        </w:rPr>
        <w:t xml:space="preserve">. The PRACH detection error includes RACH sequence misdetection as well as </w:t>
      </w:r>
      <w:r w:rsidR="000C6FCE">
        <w:rPr>
          <w:lang w:val="en-GB"/>
        </w:rPr>
        <w:t xml:space="preserve">payload decoding </w:t>
      </w:r>
      <w:r>
        <w:rPr>
          <w:lang w:val="en-GB"/>
        </w:rPr>
        <w:t>error, but excludes</w:t>
      </w:r>
      <w:r w:rsidR="000C6FCE">
        <w:rPr>
          <w:lang w:val="en-GB"/>
        </w:rPr>
        <w:t xml:space="preserve"> </w:t>
      </w:r>
      <w:r>
        <w:rPr>
          <w:lang w:val="en-GB"/>
        </w:rPr>
        <w:t>RACH sequence double-collisions. As can be seen</w:t>
      </w:r>
      <w:r w:rsidR="00EE7D69">
        <w:rPr>
          <w:lang w:val="en-GB"/>
        </w:rPr>
        <w:t xml:space="preserve">, </w:t>
      </w:r>
      <w:r w:rsidR="000C6FCE">
        <w:rPr>
          <w:lang w:val="en-GB"/>
        </w:rPr>
        <w:t xml:space="preserve">a long-term SINR of -13 dB is adequate for getting a 1% </w:t>
      </w:r>
      <w:r w:rsidR="00EE7D69">
        <w:rPr>
          <w:lang w:val="en-GB"/>
        </w:rPr>
        <w:t xml:space="preserve">payload </w:t>
      </w:r>
      <w:r w:rsidR="000C6FCE">
        <w:rPr>
          <w:lang w:val="en-GB"/>
        </w:rPr>
        <w:t xml:space="preserve">detection </w:t>
      </w:r>
      <w:r w:rsidR="00EE7D69">
        <w:rPr>
          <w:lang w:val="en-GB"/>
        </w:rPr>
        <w:t xml:space="preserve">error </w:t>
      </w:r>
      <w:r w:rsidR="000C6FCE">
        <w:rPr>
          <w:lang w:val="en-GB"/>
        </w:rPr>
        <w:t>rate.</w:t>
      </w:r>
      <w:r w:rsidR="00A1658E">
        <w:rPr>
          <w:lang w:val="en-GB"/>
        </w:rPr>
        <w:t xml:space="preserve"> </w:t>
      </w:r>
      <w:r w:rsidR="0059107C">
        <w:rPr>
          <w:lang w:val="en-GB"/>
        </w:rPr>
        <w:t>Assuming the TRP experiences a RoT (i.e., rise-over-thermal) and IoT (i.e., interference-over-thermal) of 3dB each, this translates to 7 UE’s sending PUMICH per TRP.</w:t>
      </w:r>
      <w:r w:rsidR="006E54C3">
        <w:rPr>
          <w:lang w:val="en-GB"/>
        </w:rPr>
        <w:t xml:space="preserve"> To factor in up-swings and down-swings, we assume that on average 1 UE per TRP utilize each PUMICH occasion. Since there are 1.6K such PUMICH occasions per DRX cycle, then payload detection sets a limit of 1640 UE’s per TRP on PUMICH capacity.</w:t>
      </w:r>
    </w:p>
    <w:p w:rsidR="006F28DC" w:rsidRDefault="006F28DC" w:rsidP="006F28DC">
      <w:pPr>
        <w:keepNext/>
        <w:jc w:val="center"/>
      </w:pPr>
      <w:r w:rsidRPr="006F28DC">
        <w:rPr>
          <w:noProof/>
          <w:lang w:eastAsia="zh-CN"/>
        </w:rPr>
        <w:lastRenderedPageBreak/>
        <w:drawing>
          <wp:inline distT="0" distB="0" distL="0" distR="0" wp14:anchorId="1A379A90" wp14:editId="623152AA">
            <wp:extent cx="3726308" cy="3200400"/>
            <wp:effectExtent l="0" t="0" r="762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30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8DC" w:rsidRPr="00CB0FBA" w:rsidRDefault="006F28DC" w:rsidP="006F28DC">
      <w:pPr>
        <w:pStyle w:val="Caption"/>
        <w:jc w:val="center"/>
        <w:rPr>
          <w:b w:val="0"/>
          <w:lang w:val="en-GB"/>
        </w:rPr>
      </w:pPr>
      <w:r>
        <w:t xml:space="preserve">Figure </w:t>
      </w:r>
      <w:fldSimple w:instr=" SEQ Figure \* ARABIC ">
        <w:r w:rsidR="00CB0FBA">
          <w:rPr>
            <w:noProof/>
          </w:rPr>
          <w:t>2</w:t>
        </w:r>
      </w:fldSimple>
      <w:r w:rsidR="00CB0FBA">
        <w:t xml:space="preserve">: </w:t>
      </w:r>
      <w:r w:rsidR="00CB0FBA" w:rsidRPr="00CB0FBA">
        <w:rPr>
          <w:b w:val="0"/>
        </w:rPr>
        <w:t>payload-based</w:t>
      </w:r>
      <w:r w:rsidR="00CB0FBA">
        <w:t xml:space="preserve"> </w:t>
      </w:r>
      <w:r w:rsidR="00CB0FBA">
        <w:rPr>
          <w:b w:val="0"/>
        </w:rPr>
        <w:t>PUMICH message detection link curves</w:t>
      </w:r>
    </w:p>
    <w:p w:rsidR="00BC7E3F" w:rsidRPr="0029180D" w:rsidRDefault="0029180D" w:rsidP="0029180D">
      <w:pPr>
        <w:pStyle w:val="Heading2"/>
      </w:pPr>
      <w:r>
        <w:t>Overall Capacity</w:t>
      </w:r>
    </w:p>
    <w:p w:rsidR="00EE07D1" w:rsidRPr="003E3A04" w:rsidRDefault="00EF29C3" w:rsidP="00BC2A46">
      <w:pPr>
        <w:rPr>
          <w:lang w:val="en-GB"/>
        </w:rPr>
      </w:pPr>
      <w:r>
        <w:rPr>
          <w:lang w:val="en-GB"/>
        </w:rPr>
        <w:t xml:space="preserve">The overall capacity is the minimum of the two capacities, i.e., </w:t>
      </w:r>
      <w:r w:rsidR="00E776FA">
        <w:rPr>
          <w:lang w:val="en-GB"/>
        </w:rPr>
        <w:t>for a PUMICH miss of less than 1</w:t>
      </w:r>
      <w:r>
        <w:rPr>
          <w:lang w:val="en-GB"/>
        </w:rPr>
        <w:t xml:space="preserve">%, a TRP can support at most </w:t>
      </w:r>
      <w:r w:rsidR="007306F3">
        <w:rPr>
          <w:lang w:val="en-GB"/>
        </w:rPr>
        <w:t>546</w:t>
      </w:r>
      <w:r>
        <w:rPr>
          <w:lang w:val="en-GB"/>
        </w:rPr>
        <w:t xml:space="preserve"> UE’s.</w:t>
      </w:r>
      <w:r w:rsidR="00482DF3">
        <w:rPr>
          <w:lang w:val="en-GB"/>
        </w:rPr>
        <w:t xml:space="preserve"> For this scheme, z</w:t>
      </w:r>
      <w:r w:rsidR="0029180D" w:rsidRPr="0029180D">
        <w:rPr>
          <w:lang w:val="en-GB"/>
        </w:rPr>
        <w:t>one capacity</w:t>
      </w:r>
      <w:r w:rsidR="00482DF3">
        <w:rPr>
          <w:lang w:val="en-GB"/>
        </w:rPr>
        <w:t xml:space="preserve"> grows linearly with number of TRPs, if there are 500 TRPs</w:t>
      </w:r>
      <w:r w:rsidR="0029180D">
        <w:rPr>
          <w:lang w:val="en-GB"/>
        </w:rPr>
        <w:t xml:space="preserve"> per zone</w:t>
      </w:r>
      <w:r w:rsidR="00482DF3">
        <w:rPr>
          <w:lang w:val="en-GB"/>
        </w:rPr>
        <w:t xml:space="preserve">, then zone capacity is </w:t>
      </w:r>
      <w:r w:rsidR="00CF4492">
        <w:rPr>
          <w:lang w:val="en-GB"/>
        </w:rPr>
        <w:t>270</w:t>
      </w:r>
      <w:r w:rsidR="0029180D">
        <w:rPr>
          <w:lang w:val="en-GB"/>
        </w:rPr>
        <w:t>K</w:t>
      </w:r>
      <w:r w:rsidR="00482DF3">
        <w:rPr>
          <w:lang w:val="en-GB"/>
        </w:rPr>
        <w:t>.</w:t>
      </w:r>
    </w:p>
    <w:p w:rsidR="007C41E9" w:rsidRDefault="00636855" w:rsidP="002323BA">
      <w:pPr>
        <w:pStyle w:val="Heading1"/>
        <w:jc w:val="both"/>
      </w:pPr>
      <w:r>
        <w:t xml:space="preserve">Payload-less </w:t>
      </w:r>
      <w:r w:rsidR="007C41E9">
        <w:t>PUMICH</w:t>
      </w:r>
    </w:p>
    <w:p w:rsidR="00B62711" w:rsidRDefault="00CB0FBA" w:rsidP="00B62711">
      <w:pPr>
        <w:jc w:val="both"/>
        <w:rPr>
          <w:lang w:val="en-GB"/>
        </w:rPr>
      </w:pPr>
      <w:r>
        <w:rPr>
          <w:lang w:val="en-GB"/>
        </w:rPr>
        <w:t>In this section</w:t>
      </w:r>
      <w:r w:rsidR="002D4357">
        <w:rPr>
          <w:lang w:val="en-GB"/>
        </w:rPr>
        <w:t xml:space="preserve"> we evaluate the capacity of a payload-less PUMICH design where each PUMICH signature, assigned by the network, consists of 4 ZC RACH sequences sent over the two RACH symbols in the UL-centric subframe (see </w:t>
      </w:r>
      <w:r w:rsidR="002D4357">
        <w:rPr>
          <w:lang w:val="en-GB"/>
        </w:rPr>
        <w:fldChar w:fldCharType="begin"/>
      </w:r>
      <w:r w:rsidR="002D4357">
        <w:rPr>
          <w:lang w:val="en-GB"/>
        </w:rPr>
        <w:instrText xml:space="preserve"> REF _Ref465947521 \h </w:instrText>
      </w:r>
      <w:r w:rsidR="00B62711">
        <w:rPr>
          <w:lang w:val="en-GB"/>
        </w:rPr>
        <w:instrText xml:space="preserve"> \* MERGEFORMAT </w:instrText>
      </w:r>
      <w:r w:rsidR="002D4357">
        <w:rPr>
          <w:lang w:val="en-GB"/>
        </w:rPr>
      </w:r>
      <w:r w:rsidR="002D4357">
        <w:rPr>
          <w:lang w:val="en-GB"/>
        </w:rPr>
        <w:fldChar w:fldCharType="separate"/>
      </w:r>
      <w:r w:rsidR="002D4357">
        <w:t xml:space="preserve">Figure </w:t>
      </w:r>
      <w:r w:rsidR="002D4357">
        <w:rPr>
          <w:noProof/>
        </w:rPr>
        <w:t>3</w:t>
      </w:r>
      <w:r w:rsidR="002D4357">
        <w:rPr>
          <w:lang w:val="en-GB"/>
        </w:rPr>
        <w:fldChar w:fldCharType="end"/>
      </w:r>
      <w:r w:rsidR="002D4357">
        <w:rPr>
          <w:lang w:val="en-GB"/>
        </w:rPr>
        <w:t xml:space="preserve">). If we assume a pool of 64 such RACH sequences, then </w:t>
      </w:r>
      <w:r w:rsidR="00B62711">
        <w:rPr>
          <w:lang w:val="en-GB"/>
        </w:rPr>
        <w:t xml:space="preserve">there </w:t>
      </w:r>
      <w:r w:rsidR="002D4357">
        <w:rPr>
          <w:lang w:val="en-GB"/>
        </w:rPr>
        <w:t xml:space="preserve">are 16.8M (= 64*64*64*64) such combinations, however, the network only </w:t>
      </w:r>
      <w:r w:rsidR="00564B50">
        <w:rPr>
          <w:lang w:val="en-GB"/>
        </w:rPr>
        <w:t xml:space="preserve">uses a </w:t>
      </w:r>
      <w:r w:rsidR="00B62711">
        <w:rPr>
          <w:lang w:val="en-GB"/>
        </w:rPr>
        <w:t xml:space="preserve">small </w:t>
      </w:r>
      <w:r w:rsidR="00564B50">
        <w:rPr>
          <w:lang w:val="en-GB"/>
        </w:rPr>
        <w:t xml:space="preserve">subset of all possible combinations as </w:t>
      </w:r>
      <w:r w:rsidR="00B62711">
        <w:rPr>
          <w:lang w:val="en-GB"/>
        </w:rPr>
        <w:t xml:space="preserve">valid </w:t>
      </w:r>
      <w:r w:rsidR="00564B50">
        <w:rPr>
          <w:lang w:val="en-GB"/>
        </w:rPr>
        <w:t>PUMICH signatures.</w:t>
      </w:r>
      <w:r w:rsidR="002D4357">
        <w:rPr>
          <w:lang w:val="en-GB"/>
        </w:rPr>
        <w:t xml:space="preserve"> </w:t>
      </w:r>
      <w:r w:rsidR="00B62711">
        <w:rPr>
          <w:lang w:val="en-GB"/>
        </w:rPr>
        <w:t xml:space="preserve">The introduced redundancy allows the TRP to resolve UE’s by trying different combinations of detected RACH sequences and rejecting those that </w:t>
      </w:r>
      <w:r w:rsidR="00CC374E">
        <w:rPr>
          <w:lang w:val="en-GB"/>
        </w:rPr>
        <w:t xml:space="preserve">do </w:t>
      </w:r>
      <w:r w:rsidR="00B62711">
        <w:rPr>
          <w:lang w:val="en-GB"/>
        </w:rPr>
        <w:t xml:space="preserve">not </w:t>
      </w:r>
      <w:r w:rsidR="00CC374E">
        <w:rPr>
          <w:lang w:val="en-GB"/>
        </w:rPr>
        <w:t>result in a valid PUMICH signature</w:t>
      </w:r>
      <w:r w:rsidR="00B62711">
        <w:rPr>
          <w:lang w:val="en-GB"/>
        </w:rPr>
        <w:t>.</w:t>
      </w:r>
      <w:r w:rsidR="003771B3">
        <w:rPr>
          <w:lang w:val="en-GB"/>
        </w:rPr>
        <w:t xml:space="preserve"> </w:t>
      </w:r>
    </w:p>
    <w:p w:rsidR="00CB0FBA" w:rsidRDefault="00CB0FBA" w:rsidP="00CB0FBA">
      <w:pPr>
        <w:keepNext/>
        <w:jc w:val="center"/>
      </w:pPr>
      <w:r w:rsidRPr="00BF3F9B">
        <w:object w:dxaOrig="5396" w:dyaOrig="3635">
          <v:shape id="_x0000_i1026" type="#_x0000_t75" style="width:270.35pt;height:181.35pt" o:ole="">
            <v:imagedata r:id="rId15" o:title=""/>
          </v:shape>
          <o:OLEObject Type="Embed" ProgID="Visio.Drawing.11" ShapeID="_x0000_i1026" DrawAspect="Content" ObjectID="_1539786958" r:id="rId16"/>
        </w:object>
      </w:r>
    </w:p>
    <w:p w:rsidR="007C41E9" w:rsidRPr="00114C45" w:rsidRDefault="00CB0FBA" w:rsidP="00114C45">
      <w:pPr>
        <w:pStyle w:val="Caption"/>
        <w:jc w:val="center"/>
        <w:rPr>
          <w:b w:val="0"/>
          <w:lang w:val="en-GB"/>
        </w:rPr>
      </w:pPr>
      <w:bookmarkStart w:id="5" w:name="_Ref46594752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 w:rsidR="0015659E">
        <w:t>:</w:t>
      </w:r>
      <w:r w:rsidR="0015659E">
        <w:rPr>
          <w:b w:val="0"/>
        </w:rPr>
        <w:t xml:space="preserve"> Payload-less PUMICH</w:t>
      </w:r>
    </w:p>
    <w:p w:rsidR="00605E85" w:rsidRDefault="001648B2" w:rsidP="00605E85">
      <w:pPr>
        <w:jc w:val="both"/>
        <w:rPr>
          <w:lang w:val="en-GB"/>
        </w:rPr>
      </w:pPr>
      <w:r>
        <w:rPr>
          <w:lang w:val="en-GB"/>
        </w:rPr>
        <w:t xml:space="preserve">A straight forward approach for constructing the set of valid PUMICH signatures is to assign each user one of the 64 RACH sequences, to be sent over one of the 4 RACH sequences. This results creation of 256 (= 64*4) orthogonal PUMICH signatures per PUMICH occasion. Since there are 1.6K PUMICH occasions per DRX cycle, this results in a capacity of 420K UE’s per zone. Given that PUMICH signatures are (almost) orthogonal, </w:t>
      </w:r>
      <w:r w:rsidR="00CF7A0D">
        <w:rPr>
          <w:lang w:val="en-GB"/>
        </w:rPr>
        <w:t xml:space="preserve">it is possible for </w:t>
      </w:r>
      <w:r>
        <w:rPr>
          <w:lang w:val="en-GB"/>
        </w:rPr>
        <w:t xml:space="preserve">thousands of UE’s to PUMICH </w:t>
      </w:r>
      <w:r w:rsidR="00605E85">
        <w:rPr>
          <w:lang w:val="en-GB"/>
        </w:rPr>
        <w:t>per TRP</w:t>
      </w:r>
      <w:r w:rsidR="00392ED7">
        <w:rPr>
          <w:lang w:val="en-GB"/>
        </w:rPr>
        <w:t>.</w:t>
      </w:r>
    </w:p>
    <w:p w:rsidR="0072145E" w:rsidRDefault="00A26A94" w:rsidP="00CD1F76">
      <w:pPr>
        <w:jc w:val="both"/>
      </w:pPr>
      <w:r>
        <w:rPr>
          <w:lang w:val="en-GB"/>
        </w:rPr>
        <w:t xml:space="preserve">This scheme can be served as baseline for the first order capacity analysis. </w:t>
      </w:r>
      <w:r w:rsidR="00B10C44">
        <w:rPr>
          <w:lang w:val="en-GB"/>
        </w:rPr>
        <w:t xml:space="preserve">A more general approach for constructing </w:t>
      </w:r>
      <w:r w:rsidR="00733D8A">
        <w:rPr>
          <w:lang w:val="en-GB"/>
        </w:rPr>
        <w:t xml:space="preserve">the set of valid PUMICH signatures is to use an underlying binary block code to prune the set of all possible combinations. More specifically, with a RACH sequence pool size of 64 and 4 </w:t>
      </w:r>
      <w:r w:rsidR="00DE79A1">
        <w:rPr>
          <w:lang w:val="en-GB"/>
        </w:rPr>
        <w:t xml:space="preserve">RACH </w:t>
      </w:r>
      <w:r w:rsidR="00733D8A">
        <w:rPr>
          <w:lang w:val="en-GB"/>
        </w:rPr>
        <w:t xml:space="preserve">sequences per PUMICH, each signature is </w:t>
      </w:r>
      <w:r w:rsidR="00DE79A1">
        <w:rPr>
          <w:lang w:val="en-GB"/>
        </w:rPr>
        <w:t>uniquely identified by 24 bits</w:t>
      </w:r>
      <w:r w:rsidR="006E0E0C">
        <w:rPr>
          <w:lang w:val="en-GB"/>
        </w:rPr>
        <w:t>. As a result a binary block code (24, k)</w:t>
      </w:r>
      <w:r w:rsidR="00DE79A1">
        <w:rPr>
          <w:lang w:val="en-GB"/>
        </w:rPr>
        <w:t xml:space="preserve"> identifies</w:t>
      </w:r>
      <w:r w:rsidR="006E0E0C">
        <w:rPr>
          <w:lang w:val="en-GB"/>
        </w:rPr>
        <w:t xml:space="preserve"> the 2^k valid PUMICH signatures</w:t>
      </w:r>
      <w:r w:rsidR="00E1151E">
        <w:rPr>
          <w:lang w:val="en-GB"/>
        </w:rPr>
        <w:t>.</w:t>
      </w:r>
      <w:r w:rsidR="00DE79A1">
        <w:rPr>
          <w:lang w:val="en-GB"/>
        </w:rPr>
        <w:t xml:space="preserve"> Clearly, a larger k provides larger number of PUMICH signatures, hence larger zone-capacity. On the </w:t>
      </w:r>
      <w:r w:rsidR="005E509C">
        <w:rPr>
          <w:lang w:val="en-GB"/>
        </w:rPr>
        <w:t>other hand, smaller</w:t>
      </w:r>
      <w:r w:rsidR="00DE79A1">
        <w:rPr>
          <w:lang w:val="en-GB"/>
        </w:rPr>
        <w:t xml:space="preserve"> k</w:t>
      </w:r>
      <w:r w:rsidR="005E509C">
        <w:rPr>
          <w:lang w:val="en-GB"/>
        </w:rPr>
        <w:t xml:space="preserve"> increases the chances of TRP in resolving</w:t>
      </w:r>
      <w:r w:rsidR="00DE79A1">
        <w:rPr>
          <w:lang w:val="en-GB"/>
        </w:rPr>
        <w:t xml:space="preserve"> UE’s </w:t>
      </w:r>
      <w:r w:rsidR="005E509C">
        <w:rPr>
          <w:lang w:val="en-GB"/>
        </w:rPr>
        <w:t xml:space="preserve">as fewer possible RACH sequence </w:t>
      </w:r>
      <w:r w:rsidR="00DE79A1">
        <w:rPr>
          <w:lang w:val="en-GB"/>
        </w:rPr>
        <w:t>combinations are indeed valid</w:t>
      </w:r>
      <w:r w:rsidR="005E509C">
        <w:rPr>
          <w:lang w:val="en-GB"/>
        </w:rPr>
        <w:t>, hence increasing cell-capacity. In other words the code rate provides a mechanism for trading zone-capacity for cell-capacity, facilitating striking a good balance. Not</w:t>
      </w:r>
      <w:r w:rsidR="00DE79A1">
        <w:rPr>
          <w:lang w:val="en-GB"/>
        </w:rPr>
        <w:t>e that the payload-less PUMICH with orthogonal design given earlier can be viewed as a special case with k = 8.</w:t>
      </w:r>
    </w:p>
    <w:p w:rsidR="00D76579" w:rsidRDefault="00E27BED" w:rsidP="00D76579">
      <w:pPr>
        <w:pStyle w:val="Heading1"/>
        <w:jc w:val="both"/>
      </w:pPr>
      <w:r>
        <w:t>Conclusion</w:t>
      </w:r>
    </w:p>
    <w:p w:rsidR="009776CF" w:rsidRDefault="009776CF" w:rsidP="00AE3878">
      <w:pPr>
        <w:rPr>
          <w:lang w:val="en-GB"/>
        </w:rPr>
      </w:pPr>
      <w:r>
        <w:rPr>
          <w:lang w:val="en-GB"/>
        </w:rPr>
        <w:t>In this contribution we considered both,</w:t>
      </w:r>
      <w:r w:rsidR="00AE3878">
        <w:rPr>
          <w:lang w:val="en-GB"/>
        </w:rPr>
        <w:t xml:space="preserve"> </w:t>
      </w:r>
      <w:r>
        <w:rPr>
          <w:lang w:val="en-GB"/>
        </w:rPr>
        <w:t xml:space="preserve">payload-based and payload-less </w:t>
      </w:r>
      <w:r w:rsidR="00AE3878">
        <w:rPr>
          <w:lang w:val="en-GB"/>
        </w:rPr>
        <w:t xml:space="preserve">PUMICH </w:t>
      </w:r>
      <w:r>
        <w:rPr>
          <w:lang w:val="en-GB"/>
        </w:rPr>
        <w:t xml:space="preserve">designs and evaluated zone and cell capacity for each of them. We showed that a payload-based PUMICH design can have a cell-capacity of </w:t>
      </w:r>
      <w:r w:rsidR="00A34DA5">
        <w:rPr>
          <w:lang w:val="en-GB"/>
        </w:rPr>
        <w:t>546</w:t>
      </w:r>
      <w:r>
        <w:rPr>
          <w:lang w:val="en-GB"/>
        </w:rPr>
        <w:t xml:space="preserve"> UE’s per cell and a zone capacity proportional to the number of TRP’s in the zone, i.e., </w:t>
      </w:r>
      <w:r w:rsidR="00E76197">
        <w:rPr>
          <w:lang w:val="en-GB"/>
        </w:rPr>
        <w:t>27</w:t>
      </w:r>
      <w:r>
        <w:rPr>
          <w:lang w:val="en-GB"/>
        </w:rPr>
        <w:t xml:space="preserve">0K assuming 500 TRP’s in the zone. We showed that </w:t>
      </w:r>
      <w:r w:rsidR="0055523A">
        <w:rPr>
          <w:lang w:val="en-GB"/>
        </w:rPr>
        <w:t>with 8 Rx antennas at the TRP, the capacity of the</w:t>
      </w:r>
      <w:r>
        <w:rPr>
          <w:lang w:val="en-GB"/>
        </w:rPr>
        <w:t xml:space="preserve"> scheme is dominated by preamble collision.</w:t>
      </w:r>
      <w:r w:rsidR="0055523A">
        <w:rPr>
          <w:lang w:val="en-GB"/>
        </w:rPr>
        <w:t xml:space="preserve"> We also showed that the capacity of a simple payload-less PUMICH scheme could be 420K UE’s per zone.</w:t>
      </w:r>
    </w:p>
    <w:p w:rsidR="0055523A" w:rsidRPr="006E7034" w:rsidRDefault="00634A1C" w:rsidP="00DE1318">
      <w:pPr>
        <w:rPr>
          <w:b/>
          <w:lang w:val="en-GB"/>
        </w:rPr>
      </w:pPr>
      <w:r>
        <w:rPr>
          <w:b/>
          <w:lang w:val="en-GB"/>
        </w:rPr>
        <w:t>Observation</w:t>
      </w:r>
      <w:r w:rsidR="0055523A" w:rsidRPr="0055523A">
        <w:rPr>
          <w:b/>
          <w:lang w:val="en-GB"/>
        </w:rPr>
        <w:t xml:space="preserve">: </w:t>
      </w:r>
      <w:r>
        <w:rPr>
          <w:b/>
          <w:lang w:val="en-GB"/>
        </w:rPr>
        <w:t>PUMICH can be design</w:t>
      </w:r>
      <w:r w:rsidR="002755E5">
        <w:rPr>
          <w:b/>
          <w:lang w:val="en-GB"/>
        </w:rPr>
        <w:t>ed</w:t>
      </w:r>
      <w:r>
        <w:rPr>
          <w:b/>
          <w:lang w:val="en-GB"/>
        </w:rPr>
        <w:t xml:space="preserve"> to support </w:t>
      </w:r>
      <w:r w:rsidR="00546046">
        <w:rPr>
          <w:b/>
          <w:lang w:val="en-GB"/>
        </w:rPr>
        <w:t>large number of UEs per zone (270k-420k) for UL based mobility</w:t>
      </w:r>
    </w:p>
    <w:p w:rsidR="00E3066B" w:rsidRDefault="00E3066B" w:rsidP="00E3066B">
      <w:pPr>
        <w:pStyle w:val="Heading1"/>
        <w:textAlignment w:val="auto"/>
        <w:rPr>
          <w:lang w:val="en-US"/>
        </w:rPr>
      </w:pPr>
      <w:r>
        <w:rPr>
          <w:lang w:val="en-US"/>
        </w:rPr>
        <w:t>References</w:t>
      </w:r>
    </w:p>
    <w:p w:rsidR="0011034F" w:rsidRDefault="009B5C28" w:rsidP="009B5C28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bookmarkStart w:id="6" w:name="_Ref450583331"/>
      <w:bookmarkEnd w:id="6"/>
      <w:r w:rsidRPr="009B5C28">
        <w:rPr>
          <w:rFonts w:ascii="Times New Roman" w:hAnsi="Times New Roman"/>
          <w:sz w:val="20"/>
          <w:lang w:val="en-GB"/>
        </w:rPr>
        <w:t>R1-1612043</w:t>
      </w:r>
      <w:r>
        <w:rPr>
          <w:rFonts w:ascii="Times New Roman" w:hAnsi="Times New Roman"/>
          <w:sz w:val="20"/>
          <w:lang w:val="en-GB"/>
        </w:rPr>
        <w:t>, “</w:t>
      </w:r>
      <w:r w:rsidRPr="009B5C28">
        <w:rPr>
          <w:rFonts w:ascii="Times New Roman" w:hAnsi="Times New Roman"/>
          <w:sz w:val="20"/>
          <w:lang w:val="en-GB"/>
        </w:rPr>
        <w:t>NR DL/UL mobility for active and inactive states</w:t>
      </w:r>
      <w:r>
        <w:rPr>
          <w:rFonts w:ascii="Times New Roman" w:hAnsi="Times New Roman"/>
          <w:sz w:val="20"/>
          <w:lang w:val="en-GB"/>
        </w:rPr>
        <w:t>”, Qualcomm Incorporate</w:t>
      </w:r>
      <w:r w:rsidR="00480158">
        <w:rPr>
          <w:rFonts w:ascii="Times New Roman" w:hAnsi="Times New Roman"/>
          <w:sz w:val="20"/>
          <w:lang w:val="en-GB"/>
        </w:rPr>
        <w:t>d</w:t>
      </w:r>
    </w:p>
    <w:p w:rsidR="00DD253F" w:rsidRDefault="00A376ED" w:rsidP="00A376ED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 w:rsidRPr="00A376ED">
        <w:rPr>
          <w:rFonts w:ascii="Times New Roman" w:hAnsi="Times New Roman"/>
          <w:sz w:val="20"/>
          <w:lang w:val="en-GB"/>
        </w:rPr>
        <w:t>R1-1612040</w:t>
      </w:r>
      <w:r w:rsidR="00DD253F">
        <w:rPr>
          <w:rFonts w:ascii="Times New Roman" w:hAnsi="Times New Roman"/>
          <w:sz w:val="20"/>
          <w:lang w:val="en-GB"/>
        </w:rPr>
        <w:t>, “</w:t>
      </w:r>
      <w:r w:rsidRPr="00A376ED">
        <w:rPr>
          <w:rFonts w:ascii="Times New Roman" w:hAnsi="Times New Roman"/>
          <w:sz w:val="20"/>
          <w:lang w:val="en-GB"/>
        </w:rPr>
        <w:t>DL based mobility DL channels</w:t>
      </w:r>
      <w:r w:rsidR="00DD253F">
        <w:rPr>
          <w:rFonts w:ascii="Times New Roman" w:hAnsi="Times New Roman"/>
          <w:sz w:val="20"/>
          <w:lang w:val="en-GB"/>
        </w:rPr>
        <w:t>”, Qualcomm Incorporate</w:t>
      </w:r>
      <w:r w:rsidR="00480158">
        <w:rPr>
          <w:rFonts w:ascii="Times New Roman" w:hAnsi="Times New Roman"/>
          <w:sz w:val="20"/>
          <w:lang w:val="en-GB"/>
        </w:rPr>
        <w:t>d</w:t>
      </w:r>
    </w:p>
    <w:p w:rsidR="00DD253F" w:rsidRDefault="0055796F" w:rsidP="0055796F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 w:rsidRPr="0055796F">
        <w:rPr>
          <w:rFonts w:ascii="Times New Roman" w:hAnsi="Times New Roman"/>
          <w:sz w:val="20"/>
          <w:lang w:val="en-GB"/>
        </w:rPr>
        <w:t>R1-1612041</w:t>
      </w:r>
      <w:r w:rsidR="00DD253F">
        <w:rPr>
          <w:rFonts w:ascii="Times New Roman" w:hAnsi="Times New Roman"/>
          <w:sz w:val="20"/>
          <w:lang w:val="en-GB"/>
        </w:rPr>
        <w:t>, “</w:t>
      </w:r>
      <w:r w:rsidRPr="0055796F">
        <w:rPr>
          <w:rFonts w:ascii="Times New Roman" w:hAnsi="Times New Roman"/>
          <w:sz w:val="20"/>
          <w:lang w:val="en-GB"/>
        </w:rPr>
        <w:t>UL based mobility DL channels</w:t>
      </w:r>
      <w:r w:rsidR="00DD253F">
        <w:rPr>
          <w:rFonts w:ascii="Times New Roman" w:hAnsi="Times New Roman"/>
          <w:sz w:val="20"/>
          <w:lang w:val="en-GB"/>
        </w:rPr>
        <w:t>”, Qualcomm Incorporate</w:t>
      </w:r>
      <w:r w:rsidR="00480158">
        <w:rPr>
          <w:rFonts w:ascii="Times New Roman" w:hAnsi="Times New Roman"/>
          <w:sz w:val="20"/>
          <w:lang w:val="en-GB"/>
        </w:rPr>
        <w:t>d</w:t>
      </w:r>
    </w:p>
    <w:p w:rsidR="0054216C" w:rsidRPr="004C038E" w:rsidRDefault="00692DA4" w:rsidP="00692DA4">
      <w:pPr>
        <w:pStyle w:val="References"/>
        <w:numPr>
          <w:ilvl w:val="0"/>
          <w:numId w:val="4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 w:rsidRPr="00692DA4">
        <w:rPr>
          <w:rFonts w:ascii="Times New Roman" w:hAnsi="Times New Roman"/>
          <w:sz w:val="20"/>
          <w:lang w:val="en-GB"/>
        </w:rPr>
        <w:t>R1-1612042</w:t>
      </w:r>
      <w:r w:rsidR="0054216C">
        <w:rPr>
          <w:rFonts w:ascii="Times New Roman" w:hAnsi="Times New Roman"/>
          <w:sz w:val="20"/>
          <w:lang w:val="en-GB"/>
        </w:rPr>
        <w:t>, “</w:t>
      </w:r>
      <w:r w:rsidRPr="0055796F">
        <w:rPr>
          <w:rFonts w:ascii="Times New Roman" w:hAnsi="Times New Roman"/>
          <w:sz w:val="20"/>
          <w:lang w:val="en-GB"/>
        </w:rPr>
        <w:t>UL based mobility DL channels</w:t>
      </w:r>
      <w:r w:rsidR="0054216C">
        <w:rPr>
          <w:rFonts w:ascii="Times New Roman" w:hAnsi="Times New Roman"/>
          <w:sz w:val="20"/>
          <w:lang w:val="en-GB"/>
        </w:rPr>
        <w:t>”, Qualcomm Incorporate</w:t>
      </w:r>
      <w:r w:rsidR="00480158">
        <w:rPr>
          <w:rFonts w:ascii="Times New Roman" w:hAnsi="Times New Roman"/>
          <w:sz w:val="20"/>
          <w:lang w:val="en-GB"/>
        </w:rPr>
        <w:t>d</w:t>
      </w:r>
    </w:p>
    <w:sectPr w:rsidR="0054216C" w:rsidRPr="004C038E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E4D" w:rsidRDefault="006F4E4D">
      <w:r>
        <w:separator/>
      </w:r>
    </w:p>
  </w:endnote>
  <w:endnote w:type="continuationSeparator" w:id="0">
    <w:p w:rsidR="006F4E4D" w:rsidRDefault="006F4E4D">
      <w:r>
        <w:continuationSeparator/>
      </w:r>
    </w:p>
  </w:endnote>
  <w:endnote w:type="continuationNotice" w:id="1">
    <w:p w:rsidR="006F4E4D" w:rsidRDefault="006F4E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825" w:rsidRDefault="00EE482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4825" w:rsidRDefault="00EE482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825" w:rsidRDefault="00EE482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30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30D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E4D" w:rsidRDefault="006F4E4D">
      <w:r>
        <w:separator/>
      </w:r>
    </w:p>
  </w:footnote>
  <w:footnote w:type="continuationSeparator" w:id="0">
    <w:p w:rsidR="006F4E4D" w:rsidRDefault="006F4E4D">
      <w:r>
        <w:continuationSeparator/>
      </w:r>
    </w:p>
  </w:footnote>
  <w:footnote w:type="continuationNotice" w:id="1">
    <w:p w:rsidR="006F4E4D" w:rsidRDefault="006F4E4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825" w:rsidRDefault="00EE4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317F29"/>
    <w:multiLevelType w:val="hybridMultilevel"/>
    <w:tmpl w:val="B156C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9C72303"/>
    <w:multiLevelType w:val="hybridMultilevel"/>
    <w:tmpl w:val="E40896A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605E41DC"/>
    <w:multiLevelType w:val="hybridMultilevel"/>
    <w:tmpl w:val="BC32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05434B"/>
    <w:multiLevelType w:val="hybridMultilevel"/>
    <w:tmpl w:val="B156C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3F6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4882"/>
    <w:rsid w:val="00034907"/>
    <w:rsid w:val="000349B7"/>
    <w:rsid w:val="0003540B"/>
    <w:rsid w:val="00035574"/>
    <w:rsid w:val="00036199"/>
    <w:rsid w:val="0003648E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323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6E8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AD1"/>
    <w:rsid w:val="00085DA3"/>
    <w:rsid w:val="00085F08"/>
    <w:rsid w:val="000862BA"/>
    <w:rsid w:val="000862F6"/>
    <w:rsid w:val="00086B50"/>
    <w:rsid w:val="00086C4D"/>
    <w:rsid w:val="00086E14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51C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6FCE"/>
    <w:rsid w:val="000C71D9"/>
    <w:rsid w:val="000D0153"/>
    <w:rsid w:val="000D037E"/>
    <w:rsid w:val="000D041A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15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D2A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5E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C45"/>
    <w:rsid w:val="00114E61"/>
    <w:rsid w:val="00114EA7"/>
    <w:rsid w:val="0011536C"/>
    <w:rsid w:val="00115716"/>
    <w:rsid w:val="0011584C"/>
    <w:rsid w:val="00116339"/>
    <w:rsid w:val="00116A2D"/>
    <w:rsid w:val="00116FC8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659E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3D3F"/>
    <w:rsid w:val="00164646"/>
    <w:rsid w:val="001647FA"/>
    <w:rsid w:val="001648B2"/>
    <w:rsid w:val="00165137"/>
    <w:rsid w:val="001652DD"/>
    <w:rsid w:val="0016634F"/>
    <w:rsid w:val="00166809"/>
    <w:rsid w:val="00166879"/>
    <w:rsid w:val="001669F9"/>
    <w:rsid w:val="00166D9E"/>
    <w:rsid w:val="00166E31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603"/>
    <w:rsid w:val="001929F7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354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82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143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3BA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5EA9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5E5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80D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357"/>
    <w:rsid w:val="002D4A54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2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298"/>
    <w:rsid w:val="0031599D"/>
    <w:rsid w:val="00316064"/>
    <w:rsid w:val="00316420"/>
    <w:rsid w:val="00316C58"/>
    <w:rsid w:val="00316EAE"/>
    <w:rsid w:val="00317050"/>
    <w:rsid w:val="0031728E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41A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6969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3A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B3"/>
    <w:rsid w:val="003771CA"/>
    <w:rsid w:val="00377397"/>
    <w:rsid w:val="0037757C"/>
    <w:rsid w:val="003775BD"/>
    <w:rsid w:val="00380543"/>
    <w:rsid w:val="00380602"/>
    <w:rsid w:val="00380892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2ED7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16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3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C96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809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158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DF3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C0346"/>
    <w:rsid w:val="004C038E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305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16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046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A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96F"/>
    <w:rsid w:val="00557A2C"/>
    <w:rsid w:val="00557CAB"/>
    <w:rsid w:val="00557D87"/>
    <w:rsid w:val="00560AC9"/>
    <w:rsid w:val="00561250"/>
    <w:rsid w:val="0056134D"/>
    <w:rsid w:val="00561A95"/>
    <w:rsid w:val="00561BF6"/>
    <w:rsid w:val="00561D3A"/>
    <w:rsid w:val="00562757"/>
    <w:rsid w:val="005627C0"/>
    <w:rsid w:val="00562CDC"/>
    <w:rsid w:val="00563FD2"/>
    <w:rsid w:val="0056434D"/>
    <w:rsid w:val="00564B50"/>
    <w:rsid w:val="00564EB9"/>
    <w:rsid w:val="00566A2E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60C5"/>
    <w:rsid w:val="005765B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07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1AB"/>
    <w:rsid w:val="005C1225"/>
    <w:rsid w:val="005C132F"/>
    <w:rsid w:val="005C1752"/>
    <w:rsid w:val="005C1BF2"/>
    <w:rsid w:val="005C2144"/>
    <w:rsid w:val="005C247C"/>
    <w:rsid w:val="005C2D32"/>
    <w:rsid w:val="005C3112"/>
    <w:rsid w:val="005C35DE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8F7"/>
    <w:rsid w:val="005E4CCB"/>
    <w:rsid w:val="005E509C"/>
    <w:rsid w:val="005E5563"/>
    <w:rsid w:val="005E59C5"/>
    <w:rsid w:val="005E5E74"/>
    <w:rsid w:val="005E66F1"/>
    <w:rsid w:val="005E6AFB"/>
    <w:rsid w:val="005E73E2"/>
    <w:rsid w:val="005E7666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A37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E85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A1C"/>
    <w:rsid w:val="006353D0"/>
    <w:rsid w:val="00635EDC"/>
    <w:rsid w:val="00635F56"/>
    <w:rsid w:val="00636094"/>
    <w:rsid w:val="0063633A"/>
    <w:rsid w:val="0063650D"/>
    <w:rsid w:val="00636855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41D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337"/>
    <w:rsid w:val="006919C5"/>
    <w:rsid w:val="00692799"/>
    <w:rsid w:val="006927F0"/>
    <w:rsid w:val="00692914"/>
    <w:rsid w:val="00692A0D"/>
    <w:rsid w:val="00692BDC"/>
    <w:rsid w:val="00692DA4"/>
    <w:rsid w:val="00692FCB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5C8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1FCF"/>
    <w:rsid w:val="006C23DC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B70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2F46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E0C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4C3"/>
    <w:rsid w:val="006E554E"/>
    <w:rsid w:val="006E5863"/>
    <w:rsid w:val="006E5AFE"/>
    <w:rsid w:val="006E696A"/>
    <w:rsid w:val="006E6C33"/>
    <w:rsid w:val="006E6F03"/>
    <w:rsid w:val="006E7034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8DC"/>
    <w:rsid w:val="006F291E"/>
    <w:rsid w:val="006F3052"/>
    <w:rsid w:val="006F314D"/>
    <w:rsid w:val="006F3B01"/>
    <w:rsid w:val="006F3C66"/>
    <w:rsid w:val="006F4189"/>
    <w:rsid w:val="006F468E"/>
    <w:rsid w:val="006F4E4D"/>
    <w:rsid w:val="006F557B"/>
    <w:rsid w:val="006F5674"/>
    <w:rsid w:val="006F5B41"/>
    <w:rsid w:val="006F6689"/>
    <w:rsid w:val="006F6740"/>
    <w:rsid w:val="006F6FEA"/>
    <w:rsid w:val="006F70E1"/>
    <w:rsid w:val="006F746D"/>
    <w:rsid w:val="006F7504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45E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D27"/>
    <w:rsid w:val="00727E9F"/>
    <w:rsid w:val="007306F3"/>
    <w:rsid w:val="0073128B"/>
    <w:rsid w:val="0073150C"/>
    <w:rsid w:val="0073171A"/>
    <w:rsid w:val="007325D3"/>
    <w:rsid w:val="00732885"/>
    <w:rsid w:val="00733195"/>
    <w:rsid w:val="00733858"/>
    <w:rsid w:val="00733A80"/>
    <w:rsid w:val="00733D8A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50D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0F9B"/>
    <w:rsid w:val="00771114"/>
    <w:rsid w:val="00771471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5B"/>
    <w:rsid w:val="007768F2"/>
    <w:rsid w:val="00776C10"/>
    <w:rsid w:val="00776E9E"/>
    <w:rsid w:val="00776F98"/>
    <w:rsid w:val="00777053"/>
    <w:rsid w:val="007775DE"/>
    <w:rsid w:val="00777B46"/>
    <w:rsid w:val="00777EE9"/>
    <w:rsid w:val="007807B6"/>
    <w:rsid w:val="0078095A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399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53B"/>
    <w:rsid w:val="007926B7"/>
    <w:rsid w:val="00792AD3"/>
    <w:rsid w:val="00792ECC"/>
    <w:rsid w:val="00793774"/>
    <w:rsid w:val="007939C7"/>
    <w:rsid w:val="00793E74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1E9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79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9F7"/>
    <w:rsid w:val="007E7B2B"/>
    <w:rsid w:val="007E7E6F"/>
    <w:rsid w:val="007F05E0"/>
    <w:rsid w:val="007F0B77"/>
    <w:rsid w:val="007F0B82"/>
    <w:rsid w:val="007F0DD3"/>
    <w:rsid w:val="007F112D"/>
    <w:rsid w:val="007F1282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7F7A57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96B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E4"/>
    <w:rsid w:val="00830D70"/>
    <w:rsid w:val="008316D8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0F4B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42"/>
    <w:rsid w:val="00893BA4"/>
    <w:rsid w:val="00893DB3"/>
    <w:rsid w:val="008948A0"/>
    <w:rsid w:val="00895243"/>
    <w:rsid w:val="00895A0C"/>
    <w:rsid w:val="008961A5"/>
    <w:rsid w:val="0089643B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124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3FBA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CA8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0CE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16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2E3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D1B"/>
    <w:rsid w:val="00976FFB"/>
    <w:rsid w:val="009776CF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718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8B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C28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5CE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6BF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00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952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58E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A94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4DA5"/>
    <w:rsid w:val="00A35A0B"/>
    <w:rsid w:val="00A35BD0"/>
    <w:rsid w:val="00A362CB"/>
    <w:rsid w:val="00A3747D"/>
    <w:rsid w:val="00A376E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8FB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6CF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3D58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7A5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681"/>
    <w:rsid w:val="00AE3839"/>
    <w:rsid w:val="00AE3878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C3C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C4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29C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52"/>
    <w:rsid w:val="00B6156C"/>
    <w:rsid w:val="00B619AF"/>
    <w:rsid w:val="00B61B85"/>
    <w:rsid w:val="00B61CFF"/>
    <w:rsid w:val="00B61F08"/>
    <w:rsid w:val="00B61F70"/>
    <w:rsid w:val="00B6237B"/>
    <w:rsid w:val="00B62711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2E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0BAC"/>
    <w:rsid w:val="00B91356"/>
    <w:rsid w:val="00B91E9D"/>
    <w:rsid w:val="00B922C4"/>
    <w:rsid w:val="00B922D5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A46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6DF0"/>
    <w:rsid w:val="00BC71C5"/>
    <w:rsid w:val="00BC7659"/>
    <w:rsid w:val="00BC791C"/>
    <w:rsid w:val="00BC7A42"/>
    <w:rsid w:val="00BC7E3F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2CB"/>
    <w:rsid w:val="00BE3AFA"/>
    <w:rsid w:val="00BE3F52"/>
    <w:rsid w:val="00BE403F"/>
    <w:rsid w:val="00BE4E41"/>
    <w:rsid w:val="00BE5515"/>
    <w:rsid w:val="00BE5613"/>
    <w:rsid w:val="00BE5813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3F9B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01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E7A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FBA"/>
    <w:rsid w:val="00CB11BD"/>
    <w:rsid w:val="00CB1368"/>
    <w:rsid w:val="00CB167F"/>
    <w:rsid w:val="00CB1F2A"/>
    <w:rsid w:val="00CB299C"/>
    <w:rsid w:val="00CB2BBA"/>
    <w:rsid w:val="00CB31F9"/>
    <w:rsid w:val="00CB35ED"/>
    <w:rsid w:val="00CB38D2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5E4"/>
    <w:rsid w:val="00CC27F5"/>
    <w:rsid w:val="00CC2D18"/>
    <w:rsid w:val="00CC2EFE"/>
    <w:rsid w:val="00CC32B0"/>
    <w:rsid w:val="00CC374E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1F76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0F3F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4504"/>
    <w:rsid w:val="00CE5386"/>
    <w:rsid w:val="00CE5E50"/>
    <w:rsid w:val="00CE630B"/>
    <w:rsid w:val="00CE64A0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492"/>
    <w:rsid w:val="00CF495B"/>
    <w:rsid w:val="00CF4F02"/>
    <w:rsid w:val="00CF4F88"/>
    <w:rsid w:val="00CF5EE9"/>
    <w:rsid w:val="00CF60A3"/>
    <w:rsid w:val="00CF61A3"/>
    <w:rsid w:val="00CF66DE"/>
    <w:rsid w:val="00CF6848"/>
    <w:rsid w:val="00CF6AF3"/>
    <w:rsid w:val="00CF6C9A"/>
    <w:rsid w:val="00CF74F6"/>
    <w:rsid w:val="00CF76AE"/>
    <w:rsid w:val="00CF7A0D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EFB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552A"/>
    <w:rsid w:val="00D15649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E5F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928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CEE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7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579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AC3"/>
    <w:rsid w:val="00D820F3"/>
    <w:rsid w:val="00D829AC"/>
    <w:rsid w:val="00D82AA1"/>
    <w:rsid w:val="00D83401"/>
    <w:rsid w:val="00D83850"/>
    <w:rsid w:val="00D84268"/>
    <w:rsid w:val="00D84278"/>
    <w:rsid w:val="00D842CD"/>
    <w:rsid w:val="00D845B1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40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53F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326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5A2"/>
    <w:rsid w:val="00DE464E"/>
    <w:rsid w:val="00DE4664"/>
    <w:rsid w:val="00DE4811"/>
    <w:rsid w:val="00DE4B0C"/>
    <w:rsid w:val="00DE58DA"/>
    <w:rsid w:val="00DE5FDA"/>
    <w:rsid w:val="00DE61AA"/>
    <w:rsid w:val="00DE752E"/>
    <w:rsid w:val="00DE7793"/>
    <w:rsid w:val="00DE79A1"/>
    <w:rsid w:val="00DE7D03"/>
    <w:rsid w:val="00DE7F45"/>
    <w:rsid w:val="00DF02D3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6E79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51E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0D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BED"/>
    <w:rsid w:val="00E30517"/>
    <w:rsid w:val="00E3066B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A2"/>
    <w:rsid w:val="00E46CC9"/>
    <w:rsid w:val="00E47D5F"/>
    <w:rsid w:val="00E47D96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3E0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5B4"/>
    <w:rsid w:val="00E75693"/>
    <w:rsid w:val="00E756FB"/>
    <w:rsid w:val="00E76141"/>
    <w:rsid w:val="00E76197"/>
    <w:rsid w:val="00E76270"/>
    <w:rsid w:val="00E76B45"/>
    <w:rsid w:val="00E77040"/>
    <w:rsid w:val="00E772C4"/>
    <w:rsid w:val="00E77655"/>
    <w:rsid w:val="00E776FA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5B9D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7D1"/>
    <w:rsid w:val="00EE08BC"/>
    <w:rsid w:val="00EE0935"/>
    <w:rsid w:val="00EE09EA"/>
    <w:rsid w:val="00EE0A49"/>
    <w:rsid w:val="00EE14E4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6C0A"/>
    <w:rsid w:val="00EE752C"/>
    <w:rsid w:val="00EE7D69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C3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165E"/>
    <w:rsid w:val="00F11CF5"/>
    <w:rsid w:val="00F12B3D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FFF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910"/>
    <w:rsid w:val="00F42C2B"/>
    <w:rsid w:val="00F43D2E"/>
    <w:rsid w:val="00F43DE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323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F32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318"/>
    <w:rsid w:val="00FD67CF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B3C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7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0270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027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0270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0270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0270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270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0270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027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027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02700"/>
    <w:pPr>
      <w:spacing w:before="180"/>
      <w:ind w:left="2693" w:hanging="2693"/>
    </w:pPr>
    <w:rPr>
      <w:b/>
    </w:rPr>
  </w:style>
  <w:style w:type="paragraph" w:styleId="TOC1">
    <w:name w:val="toc 1"/>
    <w:semiHidden/>
    <w:rsid w:val="00A027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027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02700"/>
    <w:pPr>
      <w:ind w:left="1701" w:hanging="1701"/>
    </w:pPr>
  </w:style>
  <w:style w:type="paragraph" w:styleId="TOC4">
    <w:name w:val="toc 4"/>
    <w:basedOn w:val="TOC3"/>
    <w:semiHidden/>
    <w:rsid w:val="00A02700"/>
    <w:pPr>
      <w:ind w:left="1418" w:hanging="1418"/>
    </w:pPr>
  </w:style>
  <w:style w:type="paragraph" w:styleId="TOC3">
    <w:name w:val="toc 3"/>
    <w:basedOn w:val="TOC2"/>
    <w:semiHidden/>
    <w:rsid w:val="00A02700"/>
    <w:pPr>
      <w:ind w:left="1134" w:hanging="1134"/>
    </w:pPr>
  </w:style>
  <w:style w:type="paragraph" w:styleId="TOC2">
    <w:name w:val="toc 2"/>
    <w:basedOn w:val="TOC1"/>
    <w:semiHidden/>
    <w:rsid w:val="00A027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2700"/>
    <w:pPr>
      <w:ind w:left="284"/>
    </w:pPr>
  </w:style>
  <w:style w:type="paragraph" w:styleId="Index1">
    <w:name w:val="index 1"/>
    <w:basedOn w:val="Normal"/>
    <w:semiHidden/>
    <w:rsid w:val="00A02700"/>
    <w:pPr>
      <w:keepLines/>
      <w:spacing w:after="0"/>
    </w:pPr>
  </w:style>
  <w:style w:type="paragraph" w:customStyle="1" w:styleId="ZH">
    <w:name w:val="ZH"/>
    <w:rsid w:val="00A027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02700"/>
    <w:pPr>
      <w:outlineLvl w:val="9"/>
    </w:pPr>
  </w:style>
  <w:style w:type="paragraph" w:styleId="ListNumber2">
    <w:name w:val="List Number 2"/>
    <w:basedOn w:val="ListNumber"/>
    <w:rsid w:val="00A0270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027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02700"/>
    <w:rPr>
      <w:b/>
      <w:position w:val="6"/>
      <w:sz w:val="16"/>
    </w:rPr>
  </w:style>
  <w:style w:type="paragraph" w:styleId="FootnoteText">
    <w:name w:val="footnote text"/>
    <w:basedOn w:val="Normal"/>
    <w:semiHidden/>
    <w:rsid w:val="00A0270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02700"/>
    <w:rPr>
      <w:b/>
    </w:rPr>
  </w:style>
  <w:style w:type="paragraph" w:customStyle="1" w:styleId="TAC">
    <w:name w:val="TAC"/>
    <w:basedOn w:val="TAL"/>
    <w:link w:val="TACChar"/>
    <w:rsid w:val="00A02700"/>
    <w:pPr>
      <w:jc w:val="center"/>
    </w:pPr>
  </w:style>
  <w:style w:type="paragraph" w:customStyle="1" w:styleId="TF">
    <w:name w:val="TF"/>
    <w:basedOn w:val="TH"/>
    <w:rsid w:val="00A02700"/>
    <w:pPr>
      <w:keepNext w:val="0"/>
      <w:spacing w:before="0" w:after="240"/>
    </w:pPr>
  </w:style>
  <w:style w:type="paragraph" w:customStyle="1" w:styleId="NO">
    <w:name w:val="NO"/>
    <w:basedOn w:val="Normal"/>
    <w:rsid w:val="00A02700"/>
    <w:pPr>
      <w:keepLines/>
      <w:ind w:left="1135" w:hanging="851"/>
    </w:pPr>
  </w:style>
  <w:style w:type="paragraph" w:styleId="TOC9">
    <w:name w:val="toc 9"/>
    <w:basedOn w:val="TOC8"/>
    <w:semiHidden/>
    <w:rsid w:val="00A02700"/>
    <w:pPr>
      <w:ind w:left="1418" w:hanging="1418"/>
    </w:pPr>
  </w:style>
  <w:style w:type="paragraph" w:customStyle="1" w:styleId="EX">
    <w:name w:val="EX"/>
    <w:basedOn w:val="Normal"/>
    <w:rsid w:val="00A02700"/>
    <w:pPr>
      <w:keepLines/>
      <w:ind w:left="1702" w:hanging="1418"/>
    </w:pPr>
  </w:style>
  <w:style w:type="paragraph" w:customStyle="1" w:styleId="FP">
    <w:name w:val="FP"/>
    <w:basedOn w:val="Normal"/>
    <w:rsid w:val="00A02700"/>
    <w:pPr>
      <w:spacing w:after="0"/>
    </w:pPr>
  </w:style>
  <w:style w:type="paragraph" w:customStyle="1" w:styleId="LD">
    <w:name w:val="LD"/>
    <w:rsid w:val="00A027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02700"/>
    <w:pPr>
      <w:spacing w:after="0"/>
    </w:pPr>
  </w:style>
  <w:style w:type="paragraph" w:customStyle="1" w:styleId="EW">
    <w:name w:val="EW"/>
    <w:basedOn w:val="EX"/>
    <w:rsid w:val="00A02700"/>
    <w:pPr>
      <w:spacing w:after="0"/>
    </w:pPr>
  </w:style>
  <w:style w:type="paragraph" w:styleId="TOC6">
    <w:name w:val="toc 6"/>
    <w:basedOn w:val="TOC5"/>
    <w:next w:val="Normal"/>
    <w:semiHidden/>
    <w:rsid w:val="00A02700"/>
    <w:pPr>
      <w:ind w:left="1985" w:hanging="1985"/>
    </w:pPr>
  </w:style>
  <w:style w:type="paragraph" w:styleId="TOC7">
    <w:name w:val="toc 7"/>
    <w:basedOn w:val="TOC6"/>
    <w:next w:val="Normal"/>
    <w:semiHidden/>
    <w:rsid w:val="00A02700"/>
    <w:pPr>
      <w:ind w:left="2268" w:hanging="2268"/>
    </w:pPr>
  </w:style>
  <w:style w:type="paragraph" w:styleId="ListBullet2">
    <w:name w:val="List Bullet 2"/>
    <w:basedOn w:val="ListBullet"/>
    <w:rsid w:val="00A02700"/>
    <w:pPr>
      <w:ind w:left="851"/>
    </w:pPr>
  </w:style>
  <w:style w:type="paragraph" w:styleId="ListBullet3">
    <w:name w:val="List Bullet 3"/>
    <w:basedOn w:val="ListBullet2"/>
    <w:rsid w:val="00A02700"/>
    <w:pPr>
      <w:ind w:left="1135"/>
    </w:pPr>
  </w:style>
  <w:style w:type="paragraph" w:styleId="ListNumber">
    <w:name w:val="List Number"/>
    <w:basedOn w:val="List"/>
    <w:rsid w:val="00A02700"/>
  </w:style>
  <w:style w:type="paragraph" w:customStyle="1" w:styleId="EQ">
    <w:name w:val="EQ"/>
    <w:basedOn w:val="Normal"/>
    <w:next w:val="Normal"/>
    <w:rsid w:val="00A027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027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27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27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02700"/>
    <w:pPr>
      <w:jc w:val="right"/>
    </w:pPr>
  </w:style>
  <w:style w:type="paragraph" w:customStyle="1" w:styleId="H6">
    <w:name w:val="H6"/>
    <w:basedOn w:val="Heading5"/>
    <w:next w:val="Normal"/>
    <w:rsid w:val="00A027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2700"/>
    <w:pPr>
      <w:ind w:left="851" w:hanging="851"/>
    </w:pPr>
  </w:style>
  <w:style w:type="paragraph" w:customStyle="1" w:styleId="TAL">
    <w:name w:val="TAL"/>
    <w:basedOn w:val="Normal"/>
    <w:rsid w:val="00A027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27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027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027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027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02700"/>
    <w:pPr>
      <w:framePr w:wrap="notBeside" w:y="16161"/>
    </w:pPr>
  </w:style>
  <w:style w:type="character" w:customStyle="1" w:styleId="ZGSM">
    <w:name w:val="ZGSM"/>
    <w:rsid w:val="00A02700"/>
  </w:style>
  <w:style w:type="paragraph" w:styleId="List2">
    <w:name w:val="List 2"/>
    <w:basedOn w:val="List"/>
    <w:rsid w:val="00A02700"/>
    <w:pPr>
      <w:ind w:left="851"/>
    </w:pPr>
  </w:style>
  <w:style w:type="paragraph" w:customStyle="1" w:styleId="ZG">
    <w:name w:val="ZG"/>
    <w:rsid w:val="00A027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02700"/>
    <w:pPr>
      <w:ind w:left="1135"/>
    </w:pPr>
  </w:style>
  <w:style w:type="paragraph" w:styleId="List4">
    <w:name w:val="List 4"/>
    <w:basedOn w:val="List3"/>
    <w:rsid w:val="00A02700"/>
    <w:pPr>
      <w:ind w:left="1418"/>
    </w:pPr>
  </w:style>
  <w:style w:type="paragraph" w:styleId="List5">
    <w:name w:val="List 5"/>
    <w:basedOn w:val="List4"/>
    <w:rsid w:val="00A02700"/>
    <w:pPr>
      <w:ind w:left="1702"/>
    </w:pPr>
  </w:style>
  <w:style w:type="paragraph" w:customStyle="1" w:styleId="EditorsNote">
    <w:name w:val="Editor's Note"/>
    <w:basedOn w:val="NO"/>
    <w:rsid w:val="00A02700"/>
    <w:rPr>
      <w:color w:val="FF0000"/>
    </w:rPr>
  </w:style>
  <w:style w:type="paragraph" w:styleId="List">
    <w:name w:val="List"/>
    <w:basedOn w:val="Normal"/>
    <w:rsid w:val="00A02700"/>
    <w:pPr>
      <w:ind w:left="568" w:hanging="284"/>
    </w:pPr>
  </w:style>
  <w:style w:type="paragraph" w:styleId="ListBullet">
    <w:name w:val="List Bullet"/>
    <w:basedOn w:val="List"/>
    <w:rsid w:val="00A02700"/>
  </w:style>
  <w:style w:type="paragraph" w:styleId="ListBullet4">
    <w:name w:val="List Bullet 4"/>
    <w:basedOn w:val="ListBullet3"/>
    <w:rsid w:val="00A02700"/>
    <w:pPr>
      <w:ind w:left="1418"/>
    </w:pPr>
  </w:style>
  <w:style w:type="paragraph" w:styleId="ListBullet5">
    <w:name w:val="List Bullet 5"/>
    <w:basedOn w:val="ListBullet4"/>
    <w:rsid w:val="00A02700"/>
    <w:pPr>
      <w:ind w:left="1702"/>
    </w:pPr>
  </w:style>
  <w:style w:type="paragraph" w:customStyle="1" w:styleId="B1">
    <w:name w:val="B1"/>
    <w:basedOn w:val="List"/>
    <w:rsid w:val="00A02700"/>
  </w:style>
  <w:style w:type="paragraph" w:customStyle="1" w:styleId="B2">
    <w:name w:val="B2"/>
    <w:basedOn w:val="List2"/>
    <w:rsid w:val="00A02700"/>
  </w:style>
  <w:style w:type="paragraph" w:customStyle="1" w:styleId="B3">
    <w:name w:val="B3"/>
    <w:basedOn w:val="List3"/>
    <w:rsid w:val="00A02700"/>
  </w:style>
  <w:style w:type="paragraph" w:customStyle="1" w:styleId="B4">
    <w:name w:val="B4"/>
    <w:basedOn w:val="List4"/>
    <w:rsid w:val="00A02700"/>
  </w:style>
  <w:style w:type="paragraph" w:customStyle="1" w:styleId="B5">
    <w:name w:val="B5"/>
    <w:basedOn w:val="List5"/>
    <w:rsid w:val="00A02700"/>
  </w:style>
  <w:style w:type="paragraph" w:styleId="Footer">
    <w:name w:val="footer"/>
    <w:basedOn w:val="Header"/>
    <w:rsid w:val="00A02700"/>
    <w:pPr>
      <w:jc w:val="center"/>
    </w:pPr>
    <w:rPr>
      <w:i/>
    </w:rPr>
  </w:style>
  <w:style w:type="paragraph" w:customStyle="1" w:styleId="ZTD">
    <w:name w:val="ZTD"/>
    <w:basedOn w:val="ZB"/>
    <w:rsid w:val="00A02700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0270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02700"/>
    <w:rPr>
      <w:i/>
    </w:rPr>
  </w:style>
  <w:style w:type="paragraph" w:styleId="DocumentMap">
    <w:name w:val="Document Map"/>
    <w:basedOn w:val="Normal"/>
    <w:semiHidden/>
    <w:rsid w:val="00A0270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02700"/>
    <w:pPr>
      <w:numPr>
        <w:numId w:val="1"/>
      </w:numPr>
    </w:pPr>
  </w:style>
  <w:style w:type="paragraph" w:customStyle="1" w:styleId="text">
    <w:name w:val="text"/>
    <w:basedOn w:val="Normal"/>
    <w:rsid w:val="00A0270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0270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0270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0270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0270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0270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0270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0270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0270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0270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0270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0270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02700"/>
  </w:style>
  <w:style w:type="character" w:styleId="CommentReference">
    <w:name w:val="annotation reference"/>
    <w:uiPriority w:val="99"/>
    <w:semiHidden/>
    <w:rsid w:val="00A02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02700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02700"/>
    <w:rPr>
      <w:b/>
      <w:bCs/>
    </w:rPr>
  </w:style>
  <w:style w:type="paragraph" w:styleId="BalloonText">
    <w:name w:val="Balloon Text"/>
    <w:basedOn w:val="Normal"/>
    <w:semiHidden/>
    <w:rsid w:val="00A02700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027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027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027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27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027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02700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02700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02700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02700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02700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02700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0270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02700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0270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02700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0270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027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02700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0270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027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027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02700"/>
    <w:rPr>
      <w:color w:val="808080"/>
    </w:rPr>
  </w:style>
  <w:style w:type="character" w:customStyle="1" w:styleId="TACChar">
    <w:name w:val="TAC Char"/>
    <w:link w:val="TAC"/>
    <w:rsid w:val="00A0270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02700"/>
    <w:rPr>
      <w:rFonts w:ascii="Arial" w:hAnsi="Arial"/>
      <w:b/>
      <w:lang w:eastAsia="en-US"/>
    </w:rPr>
  </w:style>
  <w:style w:type="character" w:styleId="Hyperlink">
    <w:name w:val="Hyperlink"/>
    <w:rsid w:val="00A02700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02700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02700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HR33RHYHUWRF-4-540</_dlc_DocId>
    <_dlc_DocIdUrl xmlns="c06861ca-3f08-4d07-bff7-bb15bac121f4">
      <Url>https://projects.qualcomm.com/sites/pentari/_layouts/15/DocIdRedir.aspx?ID=HR33RHYHUWRF-4-540</Url>
      <Description>HR33RHYHUWRF-4-540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465C38A6-236A-4268-B783-1B0838A3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49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Sun, Haitong</cp:lastModifiedBy>
  <cp:revision>63</cp:revision>
  <cp:lastPrinted>2014-11-07T05:38:00Z</cp:lastPrinted>
  <dcterms:created xsi:type="dcterms:W3CDTF">2016-11-04T17:26:00Z</dcterms:created>
  <dcterms:modified xsi:type="dcterms:W3CDTF">2016-11-05T00:50:00Z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-1449239312</vt:i4>
  </property>
  <property fmtid="{D5CDD505-2E9C-101B-9397-08002B2CF9AE}" pid="3" name="_NewReviewCycle">
    <vt:lpwstr/>
  </property>
  <property fmtid="{D5CDD505-2E9C-101B-9397-08002B2CF9AE}" pid="4" name="_EmailSubject">
    <vt:lpwstr>Skeleton for PUMICH scalability</vt:lpwstr>
  </property>
  <property fmtid="{D5CDD505-2E9C-101B-9397-08002B2CF9AE}" pid="5" name="_AuthorEmail">
    <vt:lpwstr>kambiza@qti.qualcomm.com</vt:lpwstr>
  </property>
  <property fmtid="{D5CDD505-2E9C-101B-9397-08002B2CF9AE}" pid="6" name="_AuthorEmailDisplayName">
    <vt:lpwstr>Azarian Yazdi, Kambiz</vt:lpwstr>
  </property>
  <property fmtid="{D5CDD505-2E9C-101B-9397-08002B2CF9AE}" pid="7" name="_dlc_DocIdItemGuid">
    <vt:lpwstr>216505c1-1d24-423a-8d4c-fb8afe83fc41</vt:lpwstr>
  </property>
  <property fmtid="{D5CDD505-2E9C-101B-9397-08002B2CF9AE}" pid="8" name="ContentTypeId">
    <vt:lpwstr>0x010100BC29BFD66497B943AA3B102F0C7B1355</vt:lpwstr>
  </property>
  <property fmtid="{D5CDD505-2E9C-101B-9397-08002B2CF9AE}" pid="9" name="_PreviousAdHocReviewCycleID">
    <vt:i4>-747788293</vt:i4>
  </property>
  <property fmtid="{D5CDD505-2E9C-101B-9397-08002B2CF9AE}" pid="10" name="_ReviewingToolsShownOnce">
    <vt:lpwstr/>
  </property>
</Properties>
</file>